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9DB" w14:textId="5AF5BB92" w:rsidR="00FE19FE" w:rsidRPr="00DB05A7" w:rsidRDefault="005718E8" w:rsidP="00651ED7">
      <w:pPr>
        <w:ind w:left="-450"/>
        <w:rPr>
          <w:rFonts w:ascii="Arial" w:hAnsi="Arial" w:cs="Arial"/>
          <w:b/>
          <w:bCs/>
          <w:u w:val="single"/>
        </w:rPr>
      </w:pPr>
      <w:r w:rsidRPr="00DB05A7">
        <w:rPr>
          <w:rFonts w:ascii="Arial" w:hAnsi="Arial" w:cs="Arial"/>
          <w:b/>
          <w:bCs/>
          <w:u w:val="single"/>
        </w:rPr>
        <w:t>Provider Feedback Table for</w:t>
      </w:r>
      <w:r w:rsidR="00F93F5C" w:rsidRPr="00DB05A7">
        <w:rPr>
          <w:rFonts w:ascii="Arial" w:hAnsi="Arial" w:cs="Arial"/>
          <w:b/>
          <w:bCs/>
          <w:u w:val="single"/>
        </w:rPr>
        <w:t xml:space="preserve"> R95</w:t>
      </w:r>
      <w:r w:rsidRPr="00DB05A7">
        <w:rPr>
          <w:rFonts w:ascii="Arial" w:hAnsi="Arial" w:cs="Arial"/>
          <w:b/>
          <w:bCs/>
          <w:u w:val="single"/>
        </w:rPr>
        <w:t xml:space="preserve"> </w:t>
      </w:r>
      <w:r w:rsidR="004651BC" w:rsidRPr="00DB05A7">
        <w:rPr>
          <w:rFonts w:ascii="Arial" w:hAnsi="Arial" w:cs="Arial"/>
          <w:b/>
          <w:bCs/>
          <w:u w:val="single"/>
        </w:rPr>
        <w:t>Discharge</w:t>
      </w:r>
      <w:r w:rsidRPr="00DB05A7">
        <w:rPr>
          <w:rFonts w:ascii="Arial" w:hAnsi="Arial" w:cs="Arial"/>
          <w:b/>
          <w:bCs/>
          <w:u w:val="single"/>
        </w:rPr>
        <w:t xml:space="preserve"> Policy</w:t>
      </w:r>
      <w:r w:rsidR="00F93F5C" w:rsidRPr="00DB05A7">
        <w:rPr>
          <w:rFonts w:ascii="Arial" w:hAnsi="Arial" w:cs="Arial"/>
          <w:b/>
          <w:bCs/>
          <w:u w:val="single"/>
        </w:rPr>
        <w:t xml:space="preserve"> Template</w:t>
      </w:r>
      <w:r w:rsidRPr="00DB05A7">
        <w:rPr>
          <w:rFonts w:ascii="Arial" w:hAnsi="Arial" w:cs="Arial"/>
          <w:b/>
          <w:bCs/>
          <w:u w:val="single"/>
        </w:rPr>
        <w:t>:</w:t>
      </w:r>
    </w:p>
    <w:p w14:paraId="2DA8BC0D" w14:textId="12BD8F12" w:rsidR="005718E8" w:rsidRPr="00DB05A7" w:rsidRDefault="00B05EA0" w:rsidP="00887FC6">
      <w:pPr>
        <w:ind w:left="-450"/>
        <w:rPr>
          <w:rFonts w:ascii="Arial" w:hAnsi="Arial" w:cs="Arial"/>
          <w:u w:val="single"/>
        </w:rPr>
      </w:pPr>
      <w:r>
        <w:rPr>
          <w:rFonts w:ascii="Arial" w:hAnsi="Arial" w:cs="Arial"/>
          <w:noProof/>
        </w:rPr>
        <w:t xml:space="preserve">Thank you for your feedback! The last column “SAPC Response to Provider Feedback” outlines changes and explanations. </w:t>
      </w:r>
      <w:r w:rsidR="00182FF1">
        <w:rPr>
          <w:rFonts w:ascii="Arial" w:hAnsi="Arial" w:cs="Arial"/>
          <w:noProof/>
        </w:rPr>
        <w:t>Updated 2/15/24.</w:t>
      </w:r>
    </w:p>
    <w:tbl>
      <w:tblPr>
        <w:tblStyle w:val="TableGrid"/>
        <w:tblpPr w:leftFromText="180" w:rightFromText="180" w:vertAnchor="text" w:tblpY="1"/>
        <w:tblOverlap w:val="never"/>
        <w:tblW w:w="18461" w:type="dxa"/>
        <w:tblLook w:val="04A0" w:firstRow="1" w:lastRow="0" w:firstColumn="1" w:lastColumn="0" w:noHBand="0" w:noVBand="1"/>
      </w:tblPr>
      <w:tblGrid>
        <w:gridCol w:w="831"/>
        <w:gridCol w:w="1869"/>
        <w:gridCol w:w="4497"/>
        <w:gridCol w:w="5403"/>
        <w:gridCol w:w="5861"/>
      </w:tblGrid>
      <w:tr w:rsidR="003461A8" w:rsidRPr="00DB05A7" w14:paraId="3E14990E" w14:textId="77777777" w:rsidTr="007816A2">
        <w:trPr>
          <w:trHeight w:val="710"/>
        </w:trPr>
        <w:tc>
          <w:tcPr>
            <w:tcW w:w="18461" w:type="dxa"/>
            <w:gridSpan w:val="5"/>
            <w:shd w:val="clear" w:color="auto" w:fill="806000" w:themeFill="accent4" w:themeFillShade="80"/>
            <w:vAlign w:val="center"/>
          </w:tcPr>
          <w:p w14:paraId="1806205F" w14:textId="7B3AA83B" w:rsidR="003461A8" w:rsidRPr="00DB05A7" w:rsidRDefault="007970F2" w:rsidP="007816A2">
            <w:pPr>
              <w:rPr>
                <w:rFonts w:ascii="Arial" w:hAnsi="Arial" w:cs="Arial"/>
                <w:b/>
                <w:bCs/>
              </w:rPr>
            </w:pPr>
            <w:r w:rsidRPr="00DB05A7">
              <w:rPr>
                <w:rFonts w:ascii="Arial" w:hAnsi="Arial" w:cs="Arial"/>
                <w:b/>
                <w:bCs/>
                <w:color w:val="FFFFFF" w:themeColor="background1"/>
              </w:rPr>
              <w:t xml:space="preserve">DRAFT </w:t>
            </w:r>
            <w:r w:rsidR="004651BC" w:rsidRPr="00DB05A7">
              <w:rPr>
                <w:rFonts w:ascii="Arial" w:hAnsi="Arial" w:cs="Arial"/>
                <w:b/>
                <w:bCs/>
                <w:color w:val="FFFFFF" w:themeColor="background1"/>
              </w:rPr>
              <w:t>DISCHARGE</w:t>
            </w:r>
            <w:r w:rsidR="003461A8" w:rsidRPr="00DB05A7">
              <w:rPr>
                <w:rFonts w:ascii="Arial" w:hAnsi="Arial" w:cs="Arial"/>
                <w:b/>
                <w:bCs/>
                <w:color w:val="FFFFFF" w:themeColor="background1"/>
              </w:rPr>
              <w:t xml:space="preserve"> </w:t>
            </w:r>
            <w:r w:rsidRPr="00DB05A7">
              <w:rPr>
                <w:rFonts w:ascii="Arial" w:hAnsi="Arial" w:cs="Arial"/>
                <w:b/>
                <w:bCs/>
                <w:color w:val="FFFFFF" w:themeColor="background1"/>
              </w:rPr>
              <w:t xml:space="preserve">POLICY </w:t>
            </w:r>
            <w:r w:rsidR="00853618" w:rsidRPr="00DB05A7">
              <w:rPr>
                <w:rFonts w:ascii="Arial" w:hAnsi="Arial" w:cs="Arial"/>
                <w:b/>
                <w:bCs/>
                <w:color w:val="FFFFFF" w:themeColor="background1"/>
              </w:rPr>
              <w:t>- FEEDBACK</w:t>
            </w:r>
          </w:p>
        </w:tc>
      </w:tr>
      <w:tr w:rsidR="007816A2" w:rsidRPr="00DB05A7" w14:paraId="567716BD" w14:textId="77777777" w:rsidTr="007816A2">
        <w:trPr>
          <w:trHeight w:val="1070"/>
        </w:trPr>
        <w:tc>
          <w:tcPr>
            <w:tcW w:w="831" w:type="dxa"/>
            <w:shd w:val="clear" w:color="auto" w:fill="FFE599" w:themeFill="accent4" w:themeFillTint="66"/>
            <w:vAlign w:val="center"/>
          </w:tcPr>
          <w:p w14:paraId="75D4BFFA" w14:textId="0C71291B" w:rsidR="00887FC6" w:rsidRPr="00DB05A7" w:rsidRDefault="00887FC6" w:rsidP="007816A2">
            <w:pPr>
              <w:ind w:left="69"/>
              <w:jc w:val="center"/>
              <w:rPr>
                <w:rFonts w:ascii="Arial" w:hAnsi="Arial" w:cs="Arial"/>
                <w:b/>
                <w:bCs/>
              </w:rPr>
            </w:pPr>
            <w:r w:rsidRPr="00DB05A7">
              <w:rPr>
                <w:rFonts w:ascii="Arial" w:hAnsi="Arial" w:cs="Arial"/>
                <w:b/>
                <w:bCs/>
              </w:rPr>
              <w:t>Page #</w:t>
            </w:r>
          </w:p>
        </w:tc>
        <w:tc>
          <w:tcPr>
            <w:tcW w:w="1869" w:type="dxa"/>
            <w:shd w:val="clear" w:color="auto" w:fill="FFE599" w:themeFill="accent4" w:themeFillTint="66"/>
            <w:vAlign w:val="center"/>
          </w:tcPr>
          <w:p w14:paraId="28E15581" w14:textId="5F1E314C" w:rsidR="00887FC6" w:rsidRPr="00DB05A7" w:rsidRDefault="00887FC6" w:rsidP="007816A2">
            <w:pPr>
              <w:rPr>
                <w:rFonts w:ascii="Arial" w:hAnsi="Arial" w:cs="Arial"/>
                <w:b/>
                <w:bCs/>
                <w:u w:val="single"/>
              </w:rPr>
            </w:pPr>
            <w:r w:rsidRPr="00DB05A7">
              <w:rPr>
                <w:rFonts w:ascii="Arial" w:hAnsi="Arial" w:cs="Arial"/>
                <w:b/>
                <w:bCs/>
                <w:u w:val="single"/>
              </w:rPr>
              <w:t>TEMPLATE SECTION</w:t>
            </w:r>
          </w:p>
          <w:p w14:paraId="7DD5BFA5" w14:textId="7E64AFC3" w:rsidR="00887FC6" w:rsidRPr="00DB05A7" w:rsidRDefault="00887FC6" w:rsidP="007816A2">
            <w:pPr>
              <w:rPr>
                <w:rFonts w:ascii="Arial" w:hAnsi="Arial" w:cs="Arial"/>
                <w:i/>
                <w:iCs/>
              </w:rPr>
            </w:pPr>
            <w:r w:rsidRPr="005B6A8E">
              <w:rPr>
                <w:rFonts w:ascii="Arial" w:hAnsi="Arial" w:cs="Arial"/>
                <w:i/>
                <w:iCs/>
                <w:sz w:val="18"/>
                <w:szCs w:val="18"/>
              </w:rPr>
              <w:t xml:space="preserve">Purpose, Policy, Scope, Definitions, </w:t>
            </w:r>
            <w:r w:rsidR="00DF2AFA" w:rsidRPr="005B6A8E">
              <w:rPr>
                <w:rFonts w:ascii="Arial" w:hAnsi="Arial" w:cs="Arial"/>
                <w:i/>
                <w:iCs/>
                <w:sz w:val="18"/>
                <w:szCs w:val="18"/>
              </w:rPr>
              <w:t xml:space="preserve">&amp; </w:t>
            </w:r>
            <w:r w:rsidRPr="005B6A8E">
              <w:rPr>
                <w:rFonts w:ascii="Arial" w:hAnsi="Arial" w:cs="Arial"/>
                <w:i/>
                <w:iCs/>
                <w:sz w:val="18"/>
                <w:szCs w:val="18"/>
              </w:rPr>
              <w:t xml:space="preserve">Procedures </w:t>
            </w:r>
          </w:p>
        </w:tc>
        <w:tc>
          <w:tcPr>
            <w:tcW w:w="4497" w:type="dxa"/>
            <w:shd w:val="clear" w:color="auto" w:fill="FFE599" w:themeFill="accent4" w:themeFillTint="66"/>
            <w:vAlign w:val="center"/>
          </w:tcPr>
          <w:p w14:paraId="0C261774" w14:textId="6B3525B5" w:rsidR="00887FC6" w:rsidRPr="00DB05A7" w:rsidRDefault="00EE282D" w:rsidP="007816A2">
            <w:pPr>
              <w:rPr>
                <w:rFonts w:ascii="Arial" w:hAnsi="Arial" w:cs="Arial"/>
                <w:b/>
                <w:bCs/>
              </w:rPr>
            </w:pPr>
            <w:r>
              <w:rPr>
                <w:rFonts w:ascii="Arial" w:hAnsi="Arial" w:cs="Arial"/>
                <w:b/>
                <w:bCs/>
              </w:rPr>
              <w:t>ORIGINAL</w:t>
            </w:r>
            <w:r w:rsidR="00887FC6" w:rsidRPr="00DB05A7">
              <w:rPr>
                <w:rFonts w:ascii="Arial" w:hAnsi="Arial" w:cs="Arial"/>
                <w:b/>
                <w:bCs/>
              </w:rPr>
              <w:t xml:space="preserve"> TEXT</w:t>
            </w:r>
          </w:p>
        </w:tc>
        <w:tc>
          <w:tcPr>
            <w:tcW w:w="5403" w:type="dxa"/>
            <w:shd w:val="clear" w:color="auto" w:fill="FFE599" w:themeFill="accent4" w:themeFillTint="66"/>
            <w:vAlign w:val="center"/>
          </w:tcPr>
          <w:p w14:paraId="3DFC301B" w14:textId="223A347E" w:rsidR="00887FC6" w:rsidRPr="00DB05A7" w:rsidRDefault="00EB06CD" w:rsidP="007816A2">
            <w:pPr>
              <w:rPr>
                <w:rFonts w:ascii="Arial" w:hAnsi="Arial" w:cs="Arial"/>
                <w:b/>
                <w:bCs/>
              </w:rPr>
            </w:pPr>
            <w:r>
              <w:rPr>
                <w:rFonts w:ascii="Arial" w:hAnsi="Arial" w:cs="Arial"/>
                <w:b/>
                <w:bCs/>
              </w:rPr>
              <w:t xml:space="preserve">PROVIDER </w:t>
            </w:r>
            <w:r w:rsidR="00887FC6" w:rsidRPr="00DB05A7">
              <w:rPr>
                <w:rFonts w:ascii="Arial" w:hAnsi="Arial" w:cs="Arial"/>
                <w:b/>
                <w:bCs/>
              </w:rPr>
              <w:t>COMMENTS, OR PROPOSED EDITS / REVISIONS ON REFERENCED TEXT</w:t>
            </w:r>
          </w:p>
        </w:tc>
        <w:tc>
          <w:tcPr>
            <w:tcW w:w="5861" w:type="dxa"/>
            <w:shd w:val="clear" w:color="auto" w:fill="FFE599" w:themeFill="accent4" w:themeFillTint="66"/>
            <w:vAlign w:val="center"/>
          </w:tcPr>
          <w:p w14:paraId="1BD85D11" w14:textId="6BC919A0" w:rsidR="00887FC6" w:rsidRPr="00DB05A7" w:rsidRDefault="001F27F8" w:rsidP="007816A2">
            <w:pPr>
              <w:rPr>
                <w:rFonts w:ascii="Arial" w:hAnsi="Arial" w:cs="Arial"/>
                <w:b/>
                <w:bCs/>
              </w:rPr>
            </w:pPr>
            <w:r>
              <w:rPr>
                <w:rFonts w:ascii="Arial" w:hAnsi="Arial" w:cs="Arial"/>
                <w:b/>
                <w:bCs/>
              </w:rPr>
              <w:t>SAPC RESPONSE</w:t>
            </w:r>
            <w:r w:rsidR="00B76FBD">
              <w:rPr>
                <w:rFonts w:ascii="Arial" w:hAnsi="Arial" w:cs="Arial"/>
                <w:b/>
                <w:bCs/>
              </w:rPr>
              <w:t xml:space="preserve"> TO PROVIDER </w:t>
            </w:r>
            <w:r w:rsidR="00106E83">
              <w:rPr>
                <w:rFonts w:ascii="Arial" w:hAnsi="Arial" w:cs="Arial"/>
                <w:b/>
                <w:bCs/>
              </w:rPr>
              <w:t>FEEDBACK</w:t>
            </w:r>
          </w:p>
        </w:tc>
      </w:tr>
      <w:tr w:rsidR="007816A2" w:rsidRPr="00DB05A7" w14:paraId="5D7BDF71" w14:textId="77777777" w:rsidTr="007816A2">
        <w:trPr>
          <w:trHeight w:val="1070"/>
        </w:trPr>
        <w:tc>
          <w:tcPr>
            <w:tcW w:w="831" w:type="dxa"/>
            <w:shd w:val="clear" w:color="auto" w:fill="D9D9D9" w:themeFill="background1" w:themeFillShade="D9"/>
            <w:vAlign w:val="center"/>
          </w:tcPr>
          <w:p w14:paraId="31B02807" w14:textId="387D895B" w:rsidR="00887FC6" w:rsidRPr="00DB05A7" w:rsidRDefault="00887FC6" w:rsidP="007816A2">
            <w:pPr>
              <w:ind w:left="69"/>
              <w:jc w:val="center"/>
              <w:rPr>
                <w:rFonts w:ascii="Arial" w:hAnsi="Arial" w:cs="Arial"/>
                <w:i/>
                <w:iCs/>
              </w:rPr>
            </w:pPr>
            <w:r w:rsidRPr="00DB05A7">
              <w:rPr>
                <w:rFonts w:ascii="Arial" w:hAnsi="Arial" w:cs="Arial"/>
                <w:i/>
                <w:iCs/>
              </w:rPr>
              <w:t>1</w:t>
            </w:r>
          </w:p>
        </w:tc>
        <w:tc>
          <w:tcPr>
            <w:tcW w:w="1869" w:type="dxa"/>
            <w:shd w:val="clear" w:color="auto" w:fill="D9D9D9" w:themeFill="background1" w:themeFillShade="D9"/>
            <w:vAlign w:val="center"/>
          </w:tcPr>
          <w:p w14:paraId="4695058C" w14:textId="77777777" w:rsidR="00222732" w:rsidRPr="00DB05A7" w:rsidRDefault="00887FC6" w:rsidP="007816A2">
            <w:pPr>
              <w:rPr>
                <w:rFonts w:ascii="Arial" w:hAnsi="Arial" w:cs="Arial"/>
                <w:i/>
                <w:iCs/>
              </w:rPr>
            </w:pPr>
            <w:r w:rsidRPr="00DB05A7">
              <w:rPr>
                <w:rFonts w:ascii="Arial" w:hAnsi="Arial" w:cs="Arial"/>
                <w:i/>
                <w:iCs/>
              </w:rPr>
              <w:t>Procedures,</w:t>
            </w:r>
            <w:r w:rsidR="00222732" w:rsidRPr="00DB05A7">
              <w:rPr>
                <w:rFonts w:ascii="Arial" w:hAnsi="Arial" w:cs="Arial"/>
                <w:i/>
                <w:iCs/>
              </w:rPr>
              <w:t xml:space="preserve"> I</w:t>
            </w:r>
          </w:p>
          <w:p w14:paraId="4DFC6670" w14:textId="1F59FB16" w:rsidR="00887FC6" w:rsidRPr="00DB05A7" w:rsidRDefault="00222732" w:rsidP="007816A2">
            <w:pPr>
              <w:rPr>
                <w:rFonts w:ascii="Arial" w:hAnsi="Arial" w:cs="Arial"/>
                <w:i/>
                <w:iCs/>
              </w:rPr>
            </w:pPr>
            <w:r w:rsidRPr="00DB05A7">
              <w:rPr>
                <w:rFonts w:ascii="Arial" w:hAnsi="Arial" w:cs="Arial"/>
                <w:i/>
                <w:iCs/>
              </w:rPr>
              <w:t>Toxicology Testing</w:t>
            </w:r>
            <w:r w:rsidR="00887FC6" w:rsidRPr="00DB05A7">
              <w:rPr>
                <w:rFonts w:ascii="Arial" w:hAnsi="Arial" w:cs="Arial"/>
                <w:i/>
                <w:iCs/>
              </w:rPr>
              <w:t xml:space="preserve"> </w:t>
            </w:r>
          </w:p>
        </w:tc>
        <w:tc>
          <w:tcPr>
            <w:tcW w:w="4497" w:type="dxa"/>
            <w:shd w:val="clear" w:color="auto" w:fill="D9D9D9" w:themeFill="background1" w:themeFillShade="D9"/>
            <w:vAlign w:val="center"/>
          </w:tcPr>
          <w:p w14:paraId="66F2C4FB" w14:textId="5B661ED7" w:rsidR="00887FC6" w:rsidRPr="00DB05A7" w:rsidRDefault="00222732" w:rsidP="007816A2">
            <w:pPr>
              <w:rPr>
                <w:rFonts w:ascii="Arial" w:hAnsi="Arial" w:cs="Arial"/>
                <w:i/>
                <w:iCs/>
              </w:rPr>
            </w:pPr>
            <w:r w:rsidRPr="00DB05A7">
              <w:rPr>
                <w:rFonts w:ascii="Arial" w:hAnsi="Arial" w:cs="Arial"/>
                <w:i/>
                <w:iCs/>
                <w:u w:val="single"/>
              </w:rPr>
              <w:t>Toxicology Testing</w:t>
            </w:r>
            <w:r w:rsidRPr="00DB05A7">
              <w:rPr>
                <w:rFonts w:ascii="Arial" w:hAnsi="Arial" w:cs="Arial"/>
                <w:i/>
                <w:iCs/>
              </w:rPr>
              <w:t>: A</w:t>
            </w:r>
            <w:r w:rsidR="00C92AA6" w:rsidRPr="00DB05A7">
              <w:rPr>
                <w:rFonts w:ascii="Arial" w:hAnsi="Arial" w:cs="Arial"/>
                <w:i/>
                <w:iCs/>
              </w:rPr>
              <w:t xml:space="preserve"> </w:t>
            </w:r>
            <w:r w:rsidRPr="00DB05A7">
              <w:rPr>
                <w:rFonts w:ascii="Arial" w:hAnsi="Arial" w:cs="Arial"/>
                <w:i/>
                <w:iCs/>
              </w:rPr>
              <w:t>positive test result is not in and of itself a reason for discharge or transition to another level of care.</w:t>
            </w:r>
          </w:p>
        </w:tc>
        <w:tc>
          <w:tcPr>
            <w:tcW w:w="5403" w:type="dxa"/>
            <w:shd w:val="clear" w:color="auto" w:fill="D9D9D9" w:themeFill="background1" w:themeFillShade="D9"/>
            <w:vAlign w:val="center"/>
          </w:tcPr>
          <w:p w14:paraId="4784BE05" w14:textId="3D33E0CF" w:rsidR="00887FC6" w:rsidRPr="00DB05A7" w:rsidRDefault="00222732" w:rsidP="007816A2">
            <w:pPr>
              <w:rPr>
                <w:rFonts w:ascii="Arial" w:hAnsi="Arial" w:cs="Arial"/>
                <w:i/>
                <w:iCs/>
              </w:rPr>
            </w:pPr>
            <w:r w:rsidRPr="00DB05A7">
              <w:rPr>
                <w:rFonts w:ascii="Arial" w:hAnsi="Arial" w:cs="Arial"/>
                <w:i/>
                <w:iCs/>
              </w:rPr>
              <w:t>Are we required to use “toxicology” instead of “drug” or “urinalysis” term?</w:t>
            </w:r>
          </w:p>
        </w:tc>
        <w:tc>
          <w:tcPr>
            <w:tcW w:w="5861" w:type="dxa"/>
            <w:shd w:val="clear" w:color="auto" w:fill="D9D9D9" w:themeFill="background1" w:themeFillShade="D9"/>
            <w:vAlign w:val="center"/>
          </w:tcPr>
          <w:p w14:paraId="5F6269A6" w14:textId="16DE9F8D" w:rsidR="00887FC6" w:rsidRPr="00DB05A7" w:rsidRDefault="756FB01C" w:rsidP="007816A2">
            <w:pPr>
              <w:rPr>
                <w:rFonts w:ascii="Arial" w:hAnsi="Arial" w:cs="Arial"/>
                <w:i/>
                <w:iCs/>
              </w:rPr>
            </w:pPr>
            <w:r w:rsidRPr="0092F9E2">
              <w:rPr>
                <w:rFonts w:ascii="Arial" w:hAnsi="Arial" w:cs="Arial"/>
                <w:i/>
                <w:iCs/>
              </w:rPr>
              <w:t>No. SAPC is moving to the “toxicology” terminology because it is more precise than “drug” or “urinalysis” terminology, but SAPC is not requiring th</w:t>
            </w:r>
            <w:r w:rsidR="5B18DFB1" w:rsidRPr="0092F9E2">
              <w:rPr>
                <w:rFonts w:ascii="Arial" w:hAnsi="Arial" w:cs="Arial"/>
                <w:i/>
                <w:iCs/>
              </w:rPr>
              <w:t xml:space="preserve">e use of any specific terminology. </w:t>
            </w:r>
          </w:p>
        </w:tc>
      </w:tr>
      <w:tr w:rsidR="0041373D" w:rsidRPr="0041373D" w14:paraId="3A4F9E99" w14:textId="77777777" w:rsidTr="007816A2">
        <w:trPr>
          <w:trHeight w:val="3542"/>
        </w:trPr>
        <w:tc>
          <w:tcPr>
            <w:tcW w:w="831" w:type="dxa"/>
            <w:vAlign w:val="center"/>
          </w:tcPr>
          <w:p w14:paraId="3353EB64" w14:textId="1372AAF9" w:rsidR="005B6A8E" w:rsidRPr="00DB05A7" w:rsidRDefault="005B6A8E" w:rsidP="007816A2">
            <w:pPr>
              <w:ind w:left="69"/>
              <w:jc w:val="center"/>
              <w:rPr>
                <w:rFonts w:ascii="Arial" w:hAnsi="Arial" w:cs="Arial"/>
              </w:rPr>
            </w:pPr>
            <w:r w:rsidRPr="00DB05A7">
              <w:rPr>
                <w:rFonts w:ascii="Arial" w:hAnsi="Arial" w:cs="Arial"/>
              </w:rPr>
              <w:t>1</w:t>
            </w:r>
          </w:p>
        </w:tc>
        <w:tc>
          <w:tcPr>
            <w:tcW w:w="1869" w:type="dxa"/>
            <w:vAlign w:val="center"/>
          </w:tcPr>
          <w:p w14:paraId="357A3C70" w14:textId="1011BC54" w:rsidR="005B6A8E" w:rsidRPr="00DB05A7" w:rsidRDefault="005B6A8E" w:rsidP="007816A2">
            <w:pPr>
              <w:rPr>
                <w:rFonts w:ascii="Arial" w:hAnsi="Arial" w:cs="Arial"/>
                <w:i/>
                <w:iCs/>
              </w:rPr>
            </w:pPr>
            <w:r w:rsidRPr="00DB05A7">
              <w:rPr>
                <w:rFonts w:ascii="Arial" w:hAnsi="Arial" w:cs="Arial"/>
                <w:i/>
                <w:iCs/>
              </w:rPr>
              <w:t>Scope</w:t>
            </w:r>
          </w:p>
        </w:tc>
        <w:tc>
          <w:tcPr>
            <w:tcW w:w="4497" w:type="dxa"/>
            <w:vAlign w:val="center"/>
          </w:tcPr>
          <w:p w14:paraId="2D6D57C0" w14:textId="6EE83095" w:rsidR="005B6A8E" w:rsidRPr="00054D3A" w:rsidRDefault="005B6A8E" w:rsidP="007816A2">
            <w:pPr>
              <w:tabs>
                <w:tab w:val="left" w:pos="5760"/>
                <w:tab w:val="left" w:pos="5850"/>
              </w:tabs>
              <w:rPr>
                <w:rFonts w:ascii="Arial" w:hAnsi="Arial" w:cs="Arial"/>
                <w:color w:val="538135" w:themeColor="accent6" w:themeShade="BF"/>
              </w:rPr>
            </w:pPr>
            <w:r w:rsidRPr="00DB05A7">
              <w:rPr>
                <w:rFonts w:ascii="Arial" w:hAnsi="Arial" w:cs="Arial"/>
                <w:color w:val="0070C0"/>
              </w:rPr>
              <w:t xml:space="preserve">This policy applies to all supervisors, Licensed Practitioners of the Healing Arts (LPHA), registered/certified counselors, Medi-Cal Peer Support Services Specialists, and other staff who provide direct services and/or have a role in patient discharges. Furthermore, it applies to all levels of care and services: outpatient, residential, outpatient/residential/inpatient withdrawal management, Opioid Treatment Programs, Recovery Services, Recovery Bridge Housing, and Recovery Housing. </w:t>
            </w:r>
            <w:r w:rsidRPr="00DB05A7">
              <w:rPr>
                <w:rFonts w:ascii="Arial" w:hAnsi="Arial" w:cs="Arial"/>
                <w:color w:val="538135" w:themeColor="accent6" w:themeShade="BF"/>
              </w:rPr>
              <w:t>[remove levels of care not offered at the agency]</w:t>
            </w:r>
          </w:p>
        </w:tc>
        <w:tc>
          <w:tcPr>
            <w:tcW w:w="5403" w:type="dxa"/>
            <w:vAlign w:val="center"/>
          </w:tcPr>
          <w:p w14:paraId="56CC2A07" w14:textId="2E6CFE56" w:rsidR="005B6A8E" w:rsidRPr="00DB05A7" w:rsidRDefault="005B6A8E" w:rsidP="007816A2">
            <w:pPr>
              <w:rPr>
                <w:rFonts w:ascii="Arial" w:hAnsi="Arial" w:cs="Arial"/>
              </w:rPr>
            </w:pPr>
            <w:r w:rsidRPr="00DB05A7">
              <w:rPr>
                <w:rFonts w:ascii="Arial" w:hAnsi="Arial" w:cs="Arial"/>
              </w:rPr>
              <w:t xml:space="preserve">This policy applies to all supervisors, Licensed Practitioners of the Healing Arts (LPHA), registered/certified counselors, Medi-Cal Peer Support Services Specialists, and other staff who provide direct services and/or have a role in patient discharges. Furthermore, it applies to all levels of care and services </w:t>
            </w:r>
            <w:r w:rsidRPr="00DB05A7">
              <w:rPr>
                <w:rFonts w:ascii="Arial" w:hAnsi="Arial" w:cs="Arial"/>
                <w:b/>
                <w:bCs/>
                <w:highlight w:val="yellow"/>
              </w:rPr>
              <w:t>provided by agency</w:t>
            </w:r>
            <w:r w:rsidRPr="00DB05A7">
              <w:rPr>
                <w:rFonts w:ascii="Arial" w:hAnsi="Arial" w:cs="Arial"/>
              </w:rPr>
              <w:t xml:space="preserve"> (</w:t>
            </w:r>
            <w:proofErr w:type="gramStart"/>
            <w:r w:rsidRPr="00DB05A7">
              <w:rPr>
                <w:rFonts w:ascii="Arial" w:hAnsi="Arial" w:cs="Arial"/>
              </w:rPr>
              <w:t>e.g.</w:t>
            </w:r>
            <w:proofErr w:type="gramEnd"/>
            <w:r w:rsidRPr="00DB05A7">
              <w:rPr>
                <w:rFonts w:ascii="Arial" w:hAnsi="Arial" w:cs="Arial"/>
              </w:rPr>
              <w:t xml:space="preserve"> outpatient, residential, </w:t>
            </w:r>
            <w:r w:rsidRPr="003769DB">
              <w:rPr>
                <w:rFonts w:ascii="Arial" w:hAnsi="Arial" w:cs="Arial"/>
                <w:strike/>
              </w:rPr>
              <w:t>outpatient/residential/inpatient</w:t>
            </w:r>
            <w:r w:rsidRPr="003769DB">
              <w:rPr>
                <w:rFonts w:ascii="Arial" w:hAnsi="Arial" w:cs="Arial"/>
              </w:rPr>
              <w:t xml:space="preserve"> withdrawal management, </w:t>
            </w:r>
            <w:r>
              <w:rPr>
                <w:rFonts w:ascii="Arial" w:hAnsi="Arial" w:cs="Arial"/>
              </w:rPr>
              <w:t xml:space="preserve">and </w:t>
            </w:r>
            <w:r w:rsidRPr="003769DB">
              <w:rPr>
                <w:rFonts w:ascii="Arial" w:hAnsi="Arial" w:cs="Arial"/>
              </w:rPr>
              <w:t xml:space="preserve">Opioid Treatment Programs, </w:t>
            </w:r>
            <w:r>
              <w:rPr>
                <w:rFonts w:ascii="Arial" w:hAnsi="Arial" w:cs="Arial"/>
              </w:rPr>
              <w:t xml:space="preserve">etc. </w:t>
            </w:r>
            <w:r w:rsidRPr="003769DB">
              <w:rPr>
                <w:rFonts w:ascii="Arial" w:hAnsi="Arial" w:cs="Arial"/>
                <w:strike/>
              </w:rPr>
              <w:t>Recovery Services, Recovery Bridge Housing, and Recovery Housing</w:t>
            </w:r>
            <w:r w:rsidRPr="00C931B7">
              <w:rPr>
                <w:rFonts w:ascii="Arial" w:hAnsi="Arial" w:cs="Arial"/>
                <w:b/>
                <w:bCs/>
              </w:rPr>
              <w:t xml:space="preserve"> </w:t>
            </w:r>
            <w:r w:rsidRPr="003769DB">
              <w:rPr>
                <w:rFonts w:ascii="Arial" w:hAnsi="Arial" w:cs="Arial"/>
                <w:strike/>
              </w:rPr>
              <w:t>etc.)</w:t>
            </w:r>
            <w:r w:rsidRPr="00DB05A7">
              <w:rPr>
                <w:rFonts w:ascii="Arial" w:hAnsi="Arial" w:cs="Arial"/>
              </w:rPr>
              <w:t xml:space="preserve"> [remove levels of care not offered at the agency]</w:t>
            </w:r>
          </w:p>
        </w:tc>
        <w:tc>
          <w:tcPr>
            <w:tcW w:w="5861" w:type="dxa"/>
            <w:shd w:val="clear" w:color="auto" w:fill="E7E6E6" w:themeFill="background2"/>
            <w:vAlign w:val="center"/>
          </w:tcPr>
          <w:p w14:paraId="7175411B" w14:textId="25871FE3" w:rsidR="005B6A8E" w:rsidRPr="0041373D" w:rsidRDefault="00DC1652" w:rsidP="007816A2">
            <w:pPr>
              <w:rPr>
                <w:rFonts w:ascii="Arial" w:hAnsi="Arial" w:cs="Arial"/>
                <w:color w:val="7030A0"/>
              </w:rPr>
            </w:pPr>
            <w:r w:rsidRPr="0041373D">
              <w:rPr>
                <w:rFonts w:ascii="Arial" w:hAnsi="Arial" w:cs="Arial"/>
                <w:color w:val="7030A0"/>
              </w:rPr>
              <w:t xml:space="preserve">REVISED TO: </w:t>
            </w:r>
            <w:r w:rsidR="005B6A8E" w:rsidRPr="0041373D">
              <w:rPr>
                <w:rFonts w:ascii="Arial" w:hAnsi="Arial" w:cs="Arial"/>
                <w:i/>
                <w:iCs/>
                <w:color w:val="7030A0"/>
              </w:rPr>
              <w:t>Furthermore, it applies to all levels of care and services provided by agency (e.g., outpatient</w:t>
            </w:r>
            <w:r w:rsidR="03A54ADD" w:rsidRPr="0041373D">
              <w:rPr>
                <w:rFonts w:ascii="Arial" w:hAnsi="Arial" w:cs="Arial"/>
                <w:i/>
                <w:iCs/>
                <w:color w:val="7030A0"/>
              </w:rPr>
              <w:t xml:space="preserve"> and intensive outpatient</w:t>
            </w:r>
            <w:r w:rsidR="005B6A8E" w:rsidRPr="0041373D">
              <w:rPr>
                <w:rFonts w:ascii="Arial" w:hAnsi="Arial" w:cs="Arial"/>
                <w:i/>
                <w:iCs/>
                <w:color w:val="7030A0"/>
              </w:rPr>
              <w:t>, residential, withdrawal management, and Opioid Treatment Programs, Recovery Services, Recovery Bridge Housing, and Recovery Housing</w:t>
            </w:r>
            <w:r w:rsidR="005B6A8E" w:rsidRPr="0041373D">
              <w:rPr>
                <w:rFonts w:ascii="Arial" w:hAnsi="Arial" w:cs="Arial"/>
                <w:b/>
                <w:bCs/>
                <w:i/>
                <w:iCs/>
                <w:color w:val="7030A0"/>
              </w:rPr>
              <w:t xml:space="preserve"> </w:t>
            </w:r>
            <w:r w:rsidR="005B6A8E" w:rsidRPr="0041373D">
              <w:rPr>
                <w:rFonts w:ascii="Arial" w:hAnsi="Arial" w:cs="Arial"/>
                <w:i/>
                <w:iCs/>
                <w:color w:val="7030A0"/>
              </w:rPr>
              <w:t>etc.).</w:t>
            </w:r>
          </w:p>
        </w:tc>
      </w:tr>
      <w:tr w:rsidR="0041373D" w:rsidRPr="0041373D" w14:paraId="57FBD01A" w14:textId="77777777" w:rsidTr="007816A2">
        <w:trPr>
          <w:trHeight w:val="2491"/>
        </w:trPr>
        <w:tc>
          <w:tcPr>
            <w:tcW w:w="831" w:type="dxa"/>
            <w:vAlign w:val="center"/>
          </w:tcPr>
          <w:p w14:paraId="5DA1044A" w14:textId="74F7057E" w:rsidR="005B6A8E" w:rsidRPr="00DB05A7" w:rsidRDefault="005B6A8E" w:rsidP="007816A2">
            <w:pPr>
              <w:ind w:left="69"/>
              <w:jc w:val="center"/>
              <w:rPr>
                <w:rFonts w:ascii="Arial" w:hAnsi="Arial" w:cs="Arial"/>
              </w:rPr>
            </w:pPr>
            <w:r w:rsidRPr="00DB05A7">
              <w:rPr>
                <w:rFonts w:ascii="Arial" w:hAnsi="Arial" w:cs="Arial"/>
              </w:rPr>
              <w:t>2</w:t>
            </w:r>
          </w:p>
        </w:tc>
        <w:tc>
          <w:tcPr>
            <w:tcW w:w="1869" w:type="dxa"/>
            <w:vAlign w:val="center"/>
          </w:tcPr>
          <w:p w14:paraId="052E64CD" w14:textId="5DC162F1" w:rsidR="005B6A8E" w:rsidRPr="00DB05A7" w:rsidRDefault="005B6A8E" w:rsidP="007816A2">
            <w:pPr>
              <w:rPr>
                <w:rFonts w:ascii="Arial" w:hAnsi="Arial" w:cs="Arial"/>
                <w:i/>
                <w:iCs/>
              </w:rPr>
            </w:pPr>
            <w:r w:rsidRPr="00DB05A7">
              <w:rPr>
                <w:rFonts w:ascii="Arial" w:hAnsi="Arial" w:cs="Arial"/>
                <w:i/>
                <w:iCs/>
              </w:rPr>
              <w:t>Definitions</w:t>
            </w:r>
          </w:p>
        </w:tc>
        <w:tc>
          <w:tcPr>
            <w:tcW w:w="4497" w:type="dxa"/>
            <w:vAlign w:val="center"/>
          </w:tcPr>
          <w:p w14:paraId="5FDDBEBF" w14:textId="2760BCFC" w:rsidR="005B6A8E" w:rsidRPr="00DB05A7" w:rsidRDefault="005B6A8E" w:rsidP="007816A2">
            <w:pPr>
              <w:spacing w:before="240" w:after="240"/>
              <w:rPr>
                <w:rFonts w:ascii="Arial" w:hAnsi="Arial" w:cs="Arial"/>
                <w:b/>
                <w:bCs/>
                <w:color w:val="000000" w:themeColor="text1"/>
              </w:rPr>
            </w:pPr>
            <w:r w:rsidRPr="00DB05A7">
              <w:rPr>
                <w:rFonts w:ascii="Arial" w:hAnsi="Arial" w:cs="Arial"/>
                <w:b/>
                <w:bCs/>
                <w:color w:val="0070C0"/>
              </w:rPr>
              <w:t>Lapse:</w:t>
            </w:r>
            <w:r w:rsidRPr="00DB05A7">
              <w:rPr>
                <w:rFonts w:ascii="Arial" w:hAnsi="Arial" w:cs="Arial"/>
                <w:color w:val="0070C0"/>
              </w:rPr>
              <w:t xml:space="preserve"> A brief return to substance use following a sustained period of abstinence, despite the patient remaining committed to recover and demonstrating a willingness to re-engage with the recovery journey.</w:t>
            </w:r>
          </w:p>
        </w:tc>
        <w:tc>
          <w:tcPr>
            <w:tcW w:w="5403" w:type="dxa"/>
            <w:vAlign w:val="center"/>
          </w:tcPr>
          <w:p w14:paraId="3AD560CD" w14:textId="62D9D1FD" w:rsidR="005B6A8E" w:rsidRPr="00DB05A7" w:rsidRDefault="005B6A8E" w:rsidP="007816A2">
            <w:pPr>
              <w:spacing w:before="240" w:after="240"/>
              <w:rPr>
                <w:rFonts w:ascii="Arial" w:hAnsi="Arial" w:cs="Arial"/>
                <w:b/>
                <w:bCs/>
              </w:rPr>
            </w:pPr>
            <w:r w:rsidRPr="00DB05A7">
              <w:rPr>
                <w:rFonts w:ascii="Arial" w:hAnsi="Arial" w:cs="Arial"/>
                <w:b/>
                <w:bCs/>
              </w:rPr>
              <w:t>Lapse:</w:t>
            </w:r>
            <w:r w:rsidRPr="00DB05A7">
              <w:rPr>
                <w:rFonts w:ascii="Arial" w:hAnsi="Arial" w:cs="Arial"/>
              </w:rPr>
              <w:t xml:space="preserve"> A brief return to substance use following a sustained period of abstinence, despite the patient remaining committed to </w:t>
            </w:r>
            <w:r w:rsidRPr="00F02398">
              <w:rPr>
                <w:rFonts w:ascii="Arial" w:hAnsi="Arial" w:cs="Arial"/>
                <w:strike/>
              </w:rPr>
              <w:t>recover</w:t>
            </w:r>
            <w:r>
              <w:rPr>
                <w:rFonts w:ascii="Arial" w:hAnsi="Arial" w:cs="Arial"/>
              </w:rPr>
              <w:t xml:space="preserve"> </w:t>
            </w:r>
            <w:r w:rsidRPr="00DB05A7">
              <w:rPr>
                <w:rFonts w:ascii="Arial" w:hAnsi="Arial" w:cs="Arial"/>
                <w:b/>
                <w:bCs/>
                <w:highlight w:val="yellow"/>
              </w:rPr>
              <w:t>SUD treatment</w:t>
            </w:r>
            <w:r w:rsidRPr="00DB05A7">
              <w:rPr>
                <w:rFonts w:ascii="Arial" w:hAnsi="Arial" w:cs="Arial"/>
              </w:rPr>
              <w:t xml:space="preserve"> and demonstrating a willingness to re-engage with </w:t>
            </w:r>
            <w:r w:rsidRPr="003769DB">
              <w:rPr>
                <w:rFonts w:ascii="Arial" w:hAnsi="Arial" w:cs="Arial"/>
                <w:strike/>
              </w:rPr>
              <w:t>the recovery journey</w:t>
            </w:r>
            <w:r w:rsidRPr="00C931B7">
              <w:rPr>
                <w:rFonts w:ascii="Arial" w:hAnsi="Arial" w:cs="Arial"/>
                <w:b/>
                <w:bCs/>
              </w:rPr>
              <w:t xml:space="preserve"> </w:t>
            </w:r>
            <w:r w:rsidRPr="00F02398">
              <w:rPr>
                <w:rFonts w:ascii="Arial" w:hAnsi="Arial" w:cs="Arial"/>
                <w:b/>
                <w:bCs/>
                <w:highlight w:val="yellow"/>
              </w:rPr>
              <w:t>treatment services</w:t>
            </w:r>
            <w:r w:rsidRPr="00DB05A7">
              <w:rPr>
                <w:rFonts w:ascii="Arial" w:hAnsi="Arial" w:cs="Arial"/>
              </w:rPr>
              <w:t>.</w:t>
            </w:r>
          </w:p>
          <w:p w14:paraId="58EBA104" w14:textId="77777777" w:rsidR="005B6A8E" w:rsidRPr="00DB05A7" w:rsidRDefault="005B6A8E" w:rsidP="007816A2">
            <w:pPr>
              <w:spacing w:before="240" w:after="240"/>
              <w:rPr>
                <w:rFonts w:ascii="Arial" w:hAnsi="Arial" w:cs="Arial"/>
              </w:rPr>
            </w:pPr>
          </w:p>
        </w:tc>
        <w:tc>
          <w:tcPr>
            <w:tcW w:w="5861" w:type="dxa"/>
            <w:shd w:val="clear" w:color="auto" w:fill="E7E6E6" w:themeFill="background2"/>
            <w:vAlign w:val="center"/>
          </w:tcPr>
          <w:p w14:paraId="757999D3" w14:textId="6E332F73" w:rsidR="00271C19" w:rsidRPr="0041373D" w:rsidRDefault="00271C19" w:rsidP="007816A2">
            <w:pPr>
              <w:rPr>
                <w:rFonts w:ascii="Arial" w:hAnsi="Arial" w:cs="Arial"/>
                <w:color w:val="7030A0"/>
              </w:rPr>
            </w:pPr>
            <w:r w:rsidRPr="0041373D">
              <w:rPr>
                <w:rFonts w:ascii="Arial" w:hAnsi="Arial" w:cs="Arial"/>
                <w:color w:val="7030A0"/>
              </w:rPr>
              <w:t>Edited as recommended</w:t>
            </w:r>
            <w:r w:rsidR="568BE4D3" w:rsidRPr="02C16051">
              <w:rPr>
                <w:rFonts w:ascii="Arial" w:hAnsi="Arial" w:cs="Arial"/>
                <w:color w:val="7030A0"/>
              </w:rPr>
              <w:t xml:space="preserve">, </w:t>
            </w:r>
            <w:r w:rsidR="7C1EE04A" w:rsidRPr="11423F7F">
              <w:rPr>
                <w:rFonts w:ascii="Arial" w:hAnsi="Arial" w:cs="Arial"/>
                <w:color w:val="7030A0"/>
              </w:rPr>
              <w:t xml:space="preserve">with a </w:t>
            </w:r>
            <w:r w:rsidR="7C1EE04A" w:rsidRPr="7D903488">
              <w:rPr>
                <w:rFonts w:ascii="Arial" w:hAnsi="Arial" w:cs="Arial"/>
                <w:color w:val="7030A0"/>
              </w:rPr>
              <w:t xml:space="preserve">few additional </w:t>
            </w:r>
            <w:r w:rsidR="7C1EE04A" w:rsidRPr="334B5CEC">
              <w:rPr>
                <w:rFonts w:ascii="Arial" w:hAnsi="Arial" w:cs="Arial"/>
                <w:color w:val="7030A0"/>
              </w:rPr>
              <w:t xml:space="preserve">stylistic </w:t>
            </w:r>
            <w:r w:rsidR="7C1EE04A" w:rsidRPr="7D903488">
              <w:rPr>
                <w:rFonts w:ascii="Arial" w:hAnsi="Arial" w:cs="Arial"/>
                <w:color w:val="7030A0"/>
              </w:rPr>
              <w:t xml:space="preserve">edits from </w:t>
            </w:r>
            <w:r w:rsidR="7C1EE04A" w:rsidRPr="334B5CEC">
              <w:rPr>
                <w:rFonts w:ascii="Arial" w:hAnsi="Arial" w:cs="Arial"/>
                <w:color w:val="7030A0"/>
              </w:rPr>
              <w:t>SAPC</w:t>
            </w:r>
            <w:r w:rsidRPr="0041373D">
              <w:rPr>
                <w:rFonts w:ascii="Arial" w:hAnsi="Arial" w:cs="Arial"/>
                <w:color w:val="7030A0"/>
              </w:rPr>
              <w:t xml:space="preserve">. </w:t>
            </w:r>
          </w:p>
          <w:p w14:paraId="41458153" w14:textId="77777777" w:rsidR="00271C19" w:rsidRPr="0041373D" w:rsidRDefault="00271C19" w:rsidP="007816A2">
            <w:pPr>
              <w:rPr>
                <w:rFonts w:ascii="Arial" w:hAnsi="Arial" w:cs="Arial"/>
                <w:color w:val="7030A0"/>
              </w:rPr>
            </w:pPr>
          </w:p>
          <w:p w14:paraId="628D0B6A" w14:textId="42603249" w:rsidR="005B6A8E" w:rsidRPr="0041373D" w:rsidRDefault="00271C19" w:rsidP="007816A2">
            <w:pPr>
              <w:rPr>
                <w:rFonts w:ascii="Arial" w:hAnsi="Arial" w:cs="Arial"/>
                <w:color w:val="7030A0"/>
              </w:rPr>
            </w:pPr>
            <w:r w:rsidRPr="0041373D">
              <w:rPr>
                <w:rFonts w:ascii="Arial" w:hAnsi="Arial" w:cs="Arial"/>
                <w:color w:val="7030A0"/>
              </w:rPr>
              <w:t xml:space="preserve">Providers will need to update the Admission Policy </w:t>
            </w:r>
            <w:r w:rsidR="000D0710" w:rsidRPr="0041373D">
              <w:rPr>
                <w:rFonts w:ascii="Arial" w:hAnsi="Arial" w:cs="Arial"/>
                <w:color w:val="7030A0"/>
              </w:rPr>
              <w:t xml:space="preserve">in the same manner for consistency. SAPC will update its online template as well.  </w:t>
            </w:r>
          </w:p>
        </w:tc>
      </w:tr>
      <w:tr w:rsidR="0041373D" w:rsidRPr="0041373D" w14:paraId="6CF8AE58" w14:textId="77777777" w:rsidTr="007816A2">
        <w:trPr>
          <w:trHeight w:val="1745"/>
        </w:trPr>
        <w:tc>
          <w:tcPr>
            <w:tcW w:w="831" w:type="dxa"/>
            <w:vAlign w:val="center"/>
          </w:tcPr>
          <w:p w14:paraId="40EA2F21" w14:textId="01B20A98" w:rsidR="003D4A76" w:rsidRPr="00DB05A7" w:rsidRDefault="003D4A76" w:rsidP="007816A2">
            <w:pPr>
              <w:ind w:left="69"/>
              <w:jc w:val="center"/>
              <w:rPr>
                <w:rFonts w:ascii="Arial" w:hAnsi="Arial" w:cs="Arial"/>
              </w:rPr>
            </w:pPr>
            <w:r w:rsidRPr="00DB05A7">
              <w:rPr>
                <w:rFonts w:ascii="Arial" w:hAnsi="Arial" w:cs="Arial"/>
              </w:rPr>
              <w:lastRenderedPageBreak/>
              <w:t>2</w:t>
            </w:r>
          </w:p>
        </w:tc>
        <w:tc>
          <w:tcPr>
            <w:tcW w:w="1869" w:type="dxa"/>
            <w:vAlign w:val="center"/>
          </w:tcPr>
          <w:p w14:paraId="731ECD24" w14:textId="598270C6" w:rsidR="003D4A76" w:rsidRPr="00DB05A7" w:rsidRDefault="003D4A76" w:rsidP="007816A2">
            <w:pPr>
              <w:rPr>
                <w:rFonts w:ascii="Arial" w:hAnsi="Arial" w:cs="Arial"/>
                <w:i/>
                <w:iCs/>
              </w:rPr>
            </w:pPr>
            <w:r w:rsidRPr="00DB05A7">
              <w:rPr>
                <w:rFonts w:ascii="Arial" w:hAnsi="Arial" w:cs="Arial"/>
                <w:i/>
                <w:iCs/>
              </w:rPr>
              <w:t>Definitions</w:t>
            </w:r>
          </w:p>
        </w:tc>
        <w:tc>
          <w:tcPr>
            <w:tcW w:w="4497" w:type="dxa"/>
            <w:vAlign w:val="center"/>
          </w:tcPr>
          <w:p w14:paraId="453EC9EB" w14:textId="3006B34A" w:rsidR="003D4A76" w:rsidRPr="00DB05A7" w:rsidRDefault="003D4A76" w:rsidP="007816A2">
            <w:pPr>
              <w:spacing w:before="240" w:after="240"/>
              <w:rPr>
                <w:rFonts w:ascii="Arial" w:hAnsi="Arial" w:cs="Arial"/>
                <w:color w:val="000000" w:themeColor="text1"/>
              </w:rPr>
            </w:pPr>
            <w:r w:rsidRPr="00DB05A7">
              <w:rPr>
                <w:rFonts w:ascii="Arial" w:hAnsi="Arial" w:cs="Arial"/>
                <w:b/>
                <w:bCs/>
                <w:color w:val="0070C0"/>
              </w:rPr>
              <w:t xml:space="preserve">Relapse: </w:t>
            </w:r>
            <w:r w:rsidRPr="00DB05A7">
              <w:rPr>
                <w:rFonts w:ascii="Arial" w:hAnsi="Arial" w:cs="Arial"/>
                <w:color w:val="0070C0"/>
              </w:rPr>
              <w:t>A prolonged episode of substance use during which the patient is not interested or open to a therapeutic intervention.</w:t>
            </w:r>
          </w:p>
          <w:p w14:paraId="7FB0DB34" w14:textId="77777777" w:rsidR="003D4A76" w:rsidRPr="00DB05A7" w:rsidRDefault="003D4A76" w:rsidP="007816A2">
            <w:pPr>
              <w:tabs>
                <w:tab w:val="left" w:pos="5760"/>
                <w:tab w:val="left" w:pos="5850"/>
              </w:tabs>
              <w:rPr>
                <w:rFonts w:ascii="Arial" w:hAnsi="Arial" w:cs="Arial"/>
                <w:color w:val="0070C0"/>
              </w:rPr>
            </w:pPr>
          </w:p>
        </w:tc>
        <w:tc>
          <w:tcPr>
            <w:tcW w:w="5403" w:type="dxa"/>
            <w:vAlign w:val="center"/>
          </w:tcPr>
          <w:p w14:paraId="5DC66FD7" w14:textId="5ED92E65" w:rsidR="003D4A76" w:rsidRPr="00A91E44" w:rsidRDefault="003D4A76" w:rsidP="007816A2">
            <w:pPr>
              <w:spacing w:before="240" w:after="240"/>
              <w:rPr>
                <w:rFonts w:ascii="Arial" w:hAnsi="Arial" w:cs="Arial"/>
              </w:rPr>
            </w:pPr>
            <w:r w:rsidRPr="00DB05A7">
              <w:rPr>
                <w:rFonts w:ascii="Arial" w:hAnsi="Arial" w:cs="Arial"/>
                <w:b/>
                <w:bCs/>
              </w:rPr>
              <w:t xml:space="preserve">Relapse: </w:t>
            </w:r>
            <w:r w:rsidRPr="00DB05A7">
              <w:rPr>
                <w:rFonts w:ascii="Arial" w:hAnsi="Arial" w:cs="Arial"/>
              </w:rPr>
              <w:t>A prolonged episode of substance use during which the patient is not interested or open to</w:t>
            </w:r>
            <w:r w:rsidRPr="003769DB">
              <w:rPr>
                <w:rFonts w:ascii="Arial" w:hAnsi="Arial" w:cs="Arial"/>
              </w:rPr>
              <w:t xml:space="preserve"> </w:t>
            </w:r>
            <w:r w:rsidRPr="003769DB">
              <w:rPr>
                <w:rFonts w:ascii="Arial" w:hAnsi="Arial" w:cs="Arial"/>
                <w:strike/>
              </w:rPr>
              <w:t>a therapeutic intervention</w:t>
            </w:r>
            <w:r w:rsidRPr="003769DB">
              <w:rPr>
                <w:rFonts w:ascii="Arial" w:hAnsi="Arial" w:cs="Arial"/>
              </w:rPr>
              <w:t xml:space="preserve"> </w:t>
            </w:r>
            <w:r w:rsidRPr="00C931B7">
              <w:rPr>
                <w:rFonts w:ascii="Arial" w:hAnsi="Arial" w:cs="Arial"/>
                <w:b/>
                <w:bCs/>
                <w:highlight w:val="yellow"/>
              </w:rPr>
              <w:t>receiving SUD treatment services.</w:t>
            </w:r>
          </w:p>
          <w:p w14:paraId="3ED66748" w14:textId="77777777" w:rsidR="003D4A76" w:rsidRPr="00DB05A7" w:rsidRDefault="003D4A76" w:rsidP="007816A2">
            <w:pPr>
              <w:rPr>
                <w:rFonts w:ascii="Arial" w:hAnsi="Arial" w:cs="Arial"/>
              </w:rPr>
            </w:pPr>
          </w:p>
        </w:tc>
        <w:tc>
          <w:tcPr>
            <w:tcW w:w="5861" w:type="dxa"/>
            <w:shd w:val="clear" w:color="auto" w:fill="E7E6E6" w:themeFill="background2"/>
            <w:vAlign w:val="center"/>
          </w:tcPr>
          <w:p w14:paraId="3707FAC5" w14:textId="77777777" w:rsidR="000D0710" w:rsidRPr="0041373D" w:rsidRDefault="000D0710" w:rsidP="000D0710">
            <w:pPr>
              <w:rPr>
                <w:rFonts w:ascii="Arial" w:hAnsi="Arial" w:cs="Arial"/>
                <w:color w:val="7030A0"/>
              </w:rPr>
            </w:pPr>
            <w:r w:rsidRPr="0041373D">
              <w:rPr>
                <w:rFonts w:ascii="Arial" w:hAnsi="Arial" w:cs="Arial"/>
                <w:color w:val="7030A0"/>
              </w:rPr>
              <w:t xml:space="preserve">Edited as recommended. </w:t>
            </w:r>
          </w:p>
          <w:p w14:paraId="482C24D1" w14:textId="77777777" w:rsidR="000D0710" w:rsidRPr="0041373D" w:rsidRDefault="000D0710" w:rsidP="000D0710">
            <w:pPr>
              <w:rPr>
                <w:rFonts w:ascii="Arial" w:hAnsi="Arial" w:cs="Arial"/>
                <w:color w:val="7030A0"/>
              </w:rPr>
            </w:pPr>
          </w:p>
          <w:p w14:paraId="424505B4" w14:textId="608D4A2E" w:rsidR="003D4A76" w:rsidRPr="0041373D" w:rsidRDefault="000D0710" w:rsidP="000D0710">
            <w:pPr>
              <w:rPr>
                <w:rFonts w:ascii="Arial" w:hAnsi="Arial" w:cs="Arial"/>
                <w:color w:val="7030A0"/>
              </w:rPr>
            </w:pPr>
            <w:r w:rsidRPr="0041373D">
              <w:rPr>
                <w:rFonts w:ascii="Arial" w:hAnsi="Arial" w:cs="Arial"/>
                <w:color w:val="7030A0"/>
              </w:rPr>
              <w:t xml:space="preserve">Providers will need to update the Admission Policy in the same manner for consistency. SAPC will update its online template as well.  </w:t>
            </w:r>
          </w:p>
        </w:tc>
      </w:tr>
      <w:tr w:rsidR="0041373D" w:rsidRPr="0041373D" w14:paraId="75F03841" w14:textId="77777777" w:rsidTr="00563593">
        <w:trPr>
          <w:trHeight w:val="1879"/>
        </w:trPr>
        <w:tc>
          <w:tcPr>
            <w:tcW w:w="831" w:type="dxa"/>
            <w:vMerge w:val="restart"/>
            <w:vAlign w:val="center"/>
          </w:tcPr>
          <w:p w14:paraId="7437DF98" w14:textId="1046D28F" w:rsidR="003D4A76" w:rsidRPr="00DB05A7" w:rsidRDefault="003D4A76" w:rsidP="007816A2">
            <w:pPr>
              <w:ind w:left="69"/>
              <w:jc w:val="center"/>
              <w:rPr>
                <w:rFonts w:ascii="Arial" w:hAnsi="Arial" w:cs="Arial"/>
              </w:rPr>
            </w:pPr>
            <w:r w:rsidRPr="00DB05A7">
              <w:rPr>
                <w:rFonts w:ascii="Arial" w:hAnsi="Arial" w:cs="Arial"/>
              </w:rPr>
              <w:t>2</w:t>
            </w:r>
          </w:p>
        </w:tc>
        <w:tc>
          <w:tcPr>
            <w:tcW w:w="1869" w:type="dxa"/>
            <w:vMerge w:val="restart"/>
            <w:vAlign w:val="center"/>
          </w:tcPr>
          <w:p w14:paraId="08086D87" w14:textId="539ABBE1" w:rsidR="003D4A76" w:rsidRPr="00DB05A7" w:rsidRDefault="003D4A76" w:rsidP="007816A2">
            <w:pPr>
              <w:rPr>
                <w:rFonts w:ascii="Arial" w:hAnsi="Arial" w:cs="Arial"/>
              </w:rPr>
            </w:pPr>
            <w:r w:rsidRPr="00DB05A7">
              <w:rPr>
                <w:rFonts w:ascii="Arial" w:hAnsi="Arial" w:cs="Arial"/>
                <w:i/>
                <w:iCs/>
              </w:rPr>
              <w:t>Definitions</w:t>
            </w:r>
          </w:p>
          <w:p w14:paraId="1E89B97D" w14:textId="599A6AB4" w:rsidR="003D4A76" w:rsidRPr="00DB05A7" w:rsidRDefault="003D4A76" w:rsidP="007816A2">
            <w:pPr>
              <w:rPr>
                <w:rFonts w:ascii="Arial" w:hAnsi="Arial" w:cs="Arial"/>
              </w:rPr>
            </w:pPr>
          </w:p>
        </w:tc>
        <w:tc>
          <w:tcPr>
            <w:tcW w:w="4497" w:type="dxa"/>
            <w:vMerge w:val="restart"/>
            <w:vAlign w:val="center"/>
          </w:tcPr>
          <w:p w14:paraId="249DC036" w14:textId="19763C15" w:rsidR="003D4A76" w:rsidRPr="00DB05A7" w:rsidRDefault="003D4A76" w:rsidP="007816A2">
            <w:pPr>
              <w:rPr>
                <w:rFonts w:ascii="Arial" w:hAnsi="Arial" w:cs="Arial"/>
              </w:rPr>
            </w:pPr>
            <w:r w:rsidRPr="00DB05A7">
              <w:rPr>
                <w:rFonts w:ascii="Arial" w:hAnsi="Arial" w:cs="Arial"/>
                <w:b/>
                <w:bCs/>
                <w:color w:val="0070C0"/>
              </w:rPr>
              <w:t>Toxicology Testing</w:t>
            </w:r>
            <w:r w:rsidRPr="00DB05A7">
              <w:rPr>
                <w:rFonts w:ascii="Arial" w:hAnsi="Arial" w:cs="Arial"/>
                <w:color w:val="0070C0"/>
              </w:rPr>
              <w:t>: An optional tool that can be offered alongside other clinical interventions when requested by a patient to support their individualized goals</w:t>
            </w:r>
            <w:r w:rsidRPr="4AE39CE0">
              <w:rPr>
                <w:rFonts w:ascii="Arial" w:hAnsi="Arial" w:cs="Arial"/>
                <w:color w:val="0070C0"/>
              </w:rPr>
              <w:t>.</w:t>
            </w:r>
            <w:r w:rsidRPr="00DB05A7">
              <w:rPr>
                <w:rFonts w:ascii="Arial" w:hAnsi="Arial" w:cs="Arial"/>
                <w:color w:val="0070C0"/>
              </w:rPr>
              <w:t xml:space="preserve">  Toxicology (also known as “drug” or “urinalysis”) testing is not a requirement for all patients or </w:t>
            </w:r>
            <w:r w:rsidRPr="4AE39CE0">
              <w:rPr>
                <w:rFonts w:ascii="Arial" w:hAnsi="Arial" w:cs="Arial"/>
                <w:color w:val="0070C0"/>
              </w:rPr>
              <w:t>at</w:t>
            </w:r>
            <w:r w:rsidRPr="00DB05A7">
              <w:rPr>
                <w:rFonts w:ascii="Arial" w:hAnsi="Arial" w:cs="Arial"/>
                <w:color w:val="0070C0"/>
              </w:rPr>
              <w:t xml:space="preserve"> a determined frequency and is not a prerequisite to patients achieving their treatment goals and/or to demonstrate treatment progress. For example, every patient may not need to submit to toxicology testing as a part of treatment participation, while others may request or be required (if authorized via consent to release information) as part of an agreement with Probation or DCFS.</w:t>
            </w:r>
          </w:p>
        </w:tc>
        <w:tc>
          <w:tcPr>
            <w:tcW w:w="5403" w:type="dxa"/>
            <w:vAlign w:val="center"/>
          </w:tcPr>
          <w:p w14:paraId="00EE2BC7" w14:textId="081DCC4C" w:rsidR="003D4A76" w:rsidRPr="00DB05A7" w:rsidRDefault="0061015A" w:rsidP="007816A2">
            <w:pPr>
              <w:rPr>
                <w:rFonts w:ascii="Arial" w:hAnsi="Arial" w:cs="Arial"/>
              </w:rPr>
            </w:pPr>
            <w:r>
              <w:rPr>
                <w:rStyle w:val="normaltextrun"/>
                <w:rFonts w:ascii="Arial" w:hAnsi="Arial" w:cs="Arial"/>
                <w:b/>
                <w:bCs/>
                <w:color w:val="000000"/>
                <w:shd w:val="clear" w:color="auto" w:fill="FFFFFF"/>
              </w:rPr>
              <w:t>Toxicology Testing</w:t>
            </w:r>
            <w:r>
              <w:rPr>
                <w:rStyle w:val="normaltextrun"/>
                <w:rFonts w:ascii="Arial" w:hAnsi="Arial" w:cs="Arial"/>
                <w:color w:val="000000"/>
                <w:shd w:val="clear" w:color="auto" w:fill="FFFFFF"/>
              </w:rPr>
              <w:t xml:space="preserve">: A </w:t>
            </w:r>
            <w:r>
              <w:rPr>
                <w:rStyle w:val="normaltextrun"/>
                <w:rFonts w:ascii="Arial" w:hAnsi="Arial" w:cs="Arial"/>
                <w:b/>
                <w:bCs/>
                <w:color w:val="000000"/>
                <w:shd w:val="clear" w:color="auto" w:fill="FFFF00"/>
              </w:rPr>
              <w:t>treatment</w:t>
            </w:r>
            <w:r>
              <w:rPr>
                <w:rStyle w:val="normaltextrun"/>
                <w:rFonts w:ascii="Arial" w:hAnsi="Arial" w:cs="Arial"/>
                <w:color w:val="000000"/>
                <w:shd w:val="clear" w:color="auto" w:fill="FFFFFF"/>
              </w:rPr>
              <w:t xml:space="preserve"> tool that can be offered alongside other clinical interventions when requested by a patient to support their individualized goals </w:t>
            </w:r>
            <w:r>
              <w:rPr>
                <w:rStyle w:val="normaltextrun"/>
                <w:rFonts w:ascii="Arial" w:hAnsi="Arial" w:cs="Arial"/>
                <w:b/>
                <w:bCs/>
                <w:color w:val="000000"/>
                <w:shd w:val="clear" w:color="auto" w:fill="FFFF00"/>
              </w:rPr>
              <w:t>and/or used by treatment provider to better inform patient care</w:t>
            </w:r>
            <w:r>
              <w:rPr>
                <w:rStyle w:val="normaltextrun"/>
                <w:rFonts w:ascii="Arial" w:hAnsi="Arial" w:cs="Arial"/>
                <w:color w:val="000000"/>
                <w:shd w:val="clear" w:color="auto" w:fill="FFFFFF"/>
              </w:rPr>
              <w:t xml:space="preserve">. Toxicology (also known as “drug” or “urinalysis”) testing is not a requirement for all </w:t>
            </w:r>
            <w:r>
              <w:rPr>
                <w:rStyle w:val="normaltextrun"/>
                <w:rFonts w:ascii="Arial" w:hAnsi="Arial" w:cs="Arial"/>
                <w:b/>
                <w:bCs/>
                <w:color w:val="000000"/>
                <w:shd w:val="clear" w:color="auto" w:fill="FFFF00"/>
              </w:rPr>
              <w:t>settings</w:t>
            </w:r>
            <w:r>
              <w:rPr>
                <w:rStyle w:val="normaltextrun"/>
                <w:rFonts w:ascii="Arial" w:hAnsi="Arial" w:cs="Arial"/>
                <w:color w:val="000000"/>
                <w:shd w:val="clear" w:color="auto" w:fill="FFFFFF"/>
              </w:rPr>
              <w:t xml:space="preserve"> or </w:t>
            </w:r>
            <w:r>
              <w:rPr>
                <w:rStyle w:val="normaltextrun"/>
                <w:rFonts w:ascii="Arial" w:hAnsi="Arial" w:cs="Arial"/>
                <w:strike/>
                <w:color w:val="000000"/>
                <w:shd w:val="clear" w:color="auto" w:fill="FFFFFF"/>
              </w:rPr>
              <w:t>at</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FFFF00"/>
              </w:rPr>
              <w:t>should be implemented at</w:t>
            </w:r>
            <w:r>
              <w:rPr>
                <w:rStyle w:val="normaltextrun"/>
                <w:rFonts w:ascii="Arial" w:hAnsi="Arial" w:cs="Arial"/>
                <w:color w:val="000000"/>
                <w:shd w:val="clear" w:color="auto" w:fill="FFFFFF"/>
              </w:rPr>
              <w:t xml:space="preserve"> a determined frequency and is not a prerequisite to patients achieving their treatment goals and/or to demonstrate treatment progress. </w:t>
            </w:r>
            <w:r>
              <w:rPr>
                <w:rStyle w:val="normaltextrun"/>
                <w:rFonts w:ascii="Arial" w:hAnsi="Arial" w:cs="Arial"/>
                <w:strike/>
                <w:color w:val="000000"/>
                <w:shd w:val="clear" w:color="auto" w:fill="FFFFFF"/>
              </w:rPr>
              <w:t>For example, every patient may not need to submit to toxicology testing as a part of treatment participation, while others may request or be required (if authorized via consent to release information) as part of an agreement with Probation or DCFS.</w:t>
            </w:r>
            <w:r>
              <w:rPr>
                <w:rStyle w:val="normaltextrun"/>
                <w:rFonts w:ascii="Arial" w:hAnsi="Arial" w:cs="Arial"/>
                <w:color w:val="000000"/>
                <w:shd w:val="clear" w:color="auto" w:fill="FFFFFF"/>
              </w:rPr>
              <w:t xml:space="preserve"> </w:t>
            </w:r>
          </w:p>
        </w:tc>
        <w:tc>
          <w:tcPr>
            <w:tcW w:w="5861" w:type="dxa"/>
            <w:shd w:val="clear" w:color="auto" w:fill="E7E6E6" w:themeFill="background2"/>
            <w:vAlign w:val="center"/>
          </w:tcPr>
          <w:p w14:paraId="201FEC8F" w14:textId="696172C5" w:rsidR="00490F90" w:rsidRPr="0087187A" w:rsidRDefault="008A0E06" w:rsidP="007816A2">
            <w:pPr>
              <w:rPr>
                <w:rFonts w:ascii="Arial" w:hAnsi="Arial" w:cs="Arial"/>
                <w:color w:val="7030A0"/>
              </w:rPr>
            </w:pPr>
            <w:r>
              <w:rPr>
                <w:rFonts w:ascii="Arial" w:hAnsi="Arial" w:cs="Arial"/>
                <w:color w:val="7030A0"/>
              </w:rPr>
              <w:t>Revised per Discussion</w:t>
            </w:r>
            <w:r w:rsidR="00490F90">
              <w:rPr>
                <w:rFonts w:ascii="Arial" w:hAnsi="Arial" w:cs="Arial"/>
                <w:color w:val="7030A0"/>
              </w:rPr>
              <w:t>:</w:t>
            </w:r>
            <w:r w:rsidR="00D4336F">
              <w:rPr>
                <w:rFonts w:ascii="Arial" w:hAnsi="Arial" w:cs="Arial"/>
                <w:color w:val="7030A0"/>
              </w:rPr>
              <w:t xml:space="preserve"> </w:t>
            </w:r>
            <w:r w:rsidR="0087187A" w:rsidRPr="0087187A">
              <w:rPr>
                <w:rFonts w:ascii="Arial" w:hAnsi="Arial" w:cs="Arial"/>
                <w:i/>
                <w:iCs/>
                <w:color w:val="7030A0"/>
              </w:rPr>
              <w:t>A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w:t>
            </w:r>
            <w:r w:rsidR="00FF3539">
              <w:rPr>
                <w:rFonts w:ascii="Arial" w:hAnsi="Arial" w:cs="Arial"/>
                <w:i/>
                <w:iCs/>
                <w:color w:val="7030A0"/>
              </w:rPr>
              <w:t xml:space="preserve"> therapeutic discussions with the patient and</w:t>
            </w:r>
            <w:r w:rsidR="0087187A" w:rsidRPr="0087187A">
              <w:rPr>
                <w:rFonts w:ascii="Arial" w:hAnsi="Arial" w:cs="Arial"/>
                <w:i/>
                <w:iCs/>
                <w:color w:val="7030A0"/>
              </w:rPr>
              <w:t xml:space="preserve"> consideration of the patient's plan of care and it does not result in an automatic refusal in admission or discharge from treatment. Provider agency staff prioritize engaging a person in treatment, which may include referrals to additional appropriate services. </w:t>
            </w:r>
            <w:r w:rsidR="0087187A">
              <w:rPr>
                <w:rFonts w:ascii="Arial" w:hAnsi="Arial" w:cs="Arial"/>
                <w:color w:val="7030A0"/>
              </w:rPr>
              <w:t>NOTE: Agencies may insert “optional” based on preference.</w:t>
            </w:r>
          </w:p>
          <w:p w14:paraId="734513DC" w14:textId="77777777" w:rsidR="0087187A" w:rsidRDefault="0087187A" w:rsidP="007816A2">
            <w:pPr>
              <w:rPr>
                <w:rFonts w:ascii="Arial" w:hAnsi="Arial" w:cs="Arial"/>
                <w:color w:val="7030A0"/>
              </w:rPr>
            </w:pPr>
          </w:p>
          <w:p w14:paraId="06F9D9C7" w14:textId="2DB89939" w:rsidR="003D4A76" w:rsidRPr="0041373D" w:rsidRDefault="00AD5AA4" w:rsidP="007816A2">
            <w:pPr>
              <w:rPr>
                <w:rFonts w:ascii="Arial" w:hAnsi="Arial" w:cs="Arial"/>
                <w:color w:val="7030A0"/>
              </w:rPr>
            </w:pPr>
            <w:r>
              <w:rPr>
                <w:rFonts w:ascii="Arial" w:hAnsi="Arial" w:cs="Arial"/>
                <w:color w:val="7030A0"/>
              </w:rPr>
              <w:t xml:space="preserve">This maintains that </w:t>
            </w:r>
            <w:r w:rsidR="0058689F">
              <w:rPr>
                <w:rFonts w:ascii="Arial" w:hAnsi="Arial" w:cs="Arial"/>
                <w:color w:val="7030A0"/>
              </w:rPr>
              <w:t xml:space="preserve">toxicology testing </w:t>
            </w:r>
            <w:r w:rsidR="009C268E">
              <w:rPr>
                <w:rFonts w:ascii="Arial" w:hAnsi="Arial" w:cs="Arial"/>
                <w:color w:val="7030A0"/>
              </w:rPr>
              <w:t xml:space="preserve">is a clinical tool and based on patient need, </w:t>
            </w:r>
            <w:r w:rsidR="00836AD3">
              <w:rPr>
                <w:rFonts w:ascii="Arial" w:hAnsi="Arial" w:cs="Arial"/>
                <w:color w:val="7030A0"/>
              </w:rPr>
              <w:t>and the frequency should reflect that</w:t>
            </w:r>
            <w:r w:rsidR="003C4A98">
              <w:rPr>
                <w:rFonts w:ascii="Arial" w:hAnsi="Arial" w:cs="Arial"/>
                <w:color w:val="7030A0"/>
              </w:rPr>
              <w:t xml:space="preserve">. </w:t>
            </w:r>
            <w:r w:rsidR="0050339E">
              <w:rPr>
                <w:rFonts w:ascii="Arial" w:hAnsi="Arial" w:cs="Arial"/>
                <w:color w:val="7030A0"/>
              </w:rPr>
              <w:t xml:space="preserve">Because the Medi-Cal contingency program does </w:t>
            </w:r>
            <w:proofErr w:type="gramStart"/>
            <w:r w:rsidR="0050339E">
              <w:rPr>
                <w:rFonts w:ascii="Arial" w:hAnsi="Arial" w:cs="Arial"/>
                <w:color w:val="7030A0"/>
              </w:rPr>
              <w:t>involved</w:t>
            </w:r>
            <w:proofErr w:type="gramEnd"/>
            <w:r w:rsidR="0050339E">
              <w:rPr>
                <w:rFonts w:ascii="Arial" w:hAnsi="Arial" w:cs="Arial"/>
                <w:color w:val="7030A0"/>
              </w:rPr>
              <w:t xml:space="preserve"> a fixed frequency of </w:t>
            </w:r>
            <w:r w:rsidR="00D9376A">
              <w:rPr>
                <w:rFonts w:ascii="Arial" w:hAnsi="Arial" w:cs="Arial"/>
                <w:color w:val="7030A0"/>
              </w:rPr>
              <w:t xml:space="preserve">urine toxicology </w:t>
            </w:r>
            <w:r w:rsidR="0050339E">
              <w:rPr>
                <w:rFonts w:ascii="Arial" w:hAnsi="Arial" w:cs="Arial"/>
                <w:color w:val="7030A0"/>
              </w:rPr>
              <w:t xml:space="preserve">testing, </w:t>
            </w:r>
            <w:r w:rsidR="00D9376A">
              <w:rPr>
                <w:rFonts w:ascii="Arial" w:hAnsi="Arial" w:cs="Arial"/>
                <w:color w:val="7030A0"/>
              </w:rPr>
              <w:t xml:space="preserve">eligible </w:t>
            </w:r>
            <w:r w:rsidR="0050339E">
              <w:rPr>
                <w:rFonts w:ascii="Arial" w:hAnsi="Arial" w:cs="Arial"/>
                <w:color w:val="7030A0"/>
              </w:rPr>
              <w:t>patients are able to opt into this program</w:t>
            </w:r>
            <w:r w:rsidR="00F65892">
              <w:rPr>
                <w:rFonts w:ascii="Arial" w:hAnsi="Arial" w:cs="Arial"/>
                <w:color w:val="7030A0"/>
              </w:rPr>
              <w:t xml:space="preserve"> with </w:t>
            </w:r>
            <w:r w:rsidR="00197E88">
              <w:rPr>
                <w:rFonts w:ascii="Arial" w:hAnsi="Arial" w:cs="Arial"/>
                <w:color w:val="7030A0"/>
              </w:rPr>
              <w:t>its</w:t>
            </w:r>
            <w:r w:rsidR="00F65892">
              <w:rPr>
                <w:rFonts w:ascii="Arial" w:hAnsi="Arial" w:cs="Arial"/>
                <w:color w:val="7030A0"/>
              </w:rPr>
              <w:t xml:space="preserve"> fixed testing frequency</w:t>
            </w:r>
            <w:r w:rsidR="00197E88">
              <w:rPr>
                <w:rFonts w:ascii="Arial" w:hAnsi="Arial" w:cs="Arial"/>
                <w:color w:val="7030A0"/>
              </w:rPr>
              <w:t xml:space="preserve">, but patients should not </w:t>
            </w:r>
            <w:r w:rsidR="001836BE">
              <w:rPr>
                <w:rFonts w:ascii="Arial" w:hAnsi="Arial" w:cs="Arial"/>
                <w:color w:val="7030A0"/>
              </w:rPr>
              <w:t xml:space="preserve">be categorically required </w:t>
            </w:r>
            <w:r w:rsidR="00197E88">
              <w:rPr>
                <w:rFonts w:ascii="Arial" w:hAnsi="Arial" w:cs="Arial"/>
                <w:color w:val="7030A0"/>
              </w:rPr>
              <w:t xml:space="preserve">to </w:t>
            </w:r>
            <w:r w:rsidR="00D37F04">
              <w:rPr>
                <w:rFonts w:ascii="Arial" w:hAnsi="Arial" w:cs="Arial"/>
                <w:color w:val="7030A0"/>
              </w:rPr>
              <w:t xml:space="preserve">participate in toxicology testing to receive </w:t>
            </w:r>
            <w:r w:rsidR="00515364">
              <w:rPr>
                <w:rFonts w:ascii="Arial" w:hAnsi="Arial" w:cs="Arial"/>
                <w:color w:val="7030A0"/>
              </w:rPr>
              <w:t>other treatment</w:t>
            </w:r>
            <w:r w:rsidR="001836BE">
              <w:rPr>
                <w:rFonts w:ascii="Arial" w:hAnsi="Arial" w:cs="Arial"/>
                <w:color w:val="7030A0"/>
              </w:rPr>
              <w:t xml:space="preserve"> services</w:t>
            </w:r>
            <w:r w:rsidR="00515364">
              <w:rPr>
                <w:rFonts w:ascii="Arial" w:hAnsi="Arial" w:cs="Arial"/>
                <w:color w:val="7030A0"/>
              </w:rPr>
              <w:t>.</w:t>
            </w:r>
          </w:p>
          <w:p w14:paraId="6CBA0C5B" w14:textId="77777777" w:rsidR="00F02270" w:rsidRPr="0041373D" w:rsidRDefault="00F02270" w:rsidP="007816A2">
            <w:pPr>
              <w:rPr>
                <w:rFonts w:ascii="Arial" w:hAnsi="Arial" w:cs="Arial"/>
                <w:color w:val="7030A0"/>
              </w:rPr>
            </w:pPr>
          </w:p>
          <w:p w14:paraId="71557180" w14:textId="31DEBFE6" w:rsidR="00BC1340" w:rsidRPr="0041373D" w:rsidRDefault="00F02270" w:rsidP="00FC3805">
            <w:pPr>
              <w:rPr>
                <w:rFonts w:ascii="Arial" w:hAnsi="Arial" w:cs="Arial"/>
                <w:color w:val="7030A0"/>
              </w:rPr>
            </w:pPr>
            <w:r w:rsidRPr="0041373D">
              <w:rPr>
                <w:rFonts w:ascii="Arial" w:hAnsi="Arial" w:cs="Arial"/>
                <w:color w:val="7030A0"/>
              </w:rPr>
              <w:t>Add</w:t>
            </w:r>
            <w:r w:rsidR="00F32317">
              <w:rPr>
                <w:rFonts w:ascii="Arial" w:hAnsi="Arial" w:cs="Arial"/>
                <w:color w:val="7030A0"/>
              </w:rPr>
              <w:t>ed</w:t>
            </w:r>
            <w:r w:rsidRPr="0041373D">
              <w:rPr>
                <w:rFonts w:ascii="Arial" w:hAnsi="Arial" w:cs="Arial"/>
                <w:color w:val="7030A0"/>
              </w:rPr>
              <w:t xml:space="preserve"> definition of “toxicology testing” to the Admission Policy prior to submission</w:t>
            </w:r>
            <w:r w:rsidR="00F648CA" w:rsidRPr="0041373D">
              <w:rPr>
                <w:rFonts w:ascii="Arial" w:hAnsi="Arial" w:cs="Arial"/>
                <w:color w:val="7030A0"/>
              </w:rPr>
              <w:t xml:space="preserve"> a</w:t>
            </w:r>
            <w:r w:rsidR="004233DB">
              <w:rPr>
                <w:rFonts w:ascii="Arial" w:hAnsi="Arial" w:cs="Arial"/>
                <w:color w:val="7030A0"/>
              </w:rPr>
              <w:t xml:space="preserve">s well as </w:t>
            </w:r>
            <w:r w:rsidR="00E41CC7">
              <w:rPr>
                <w:rFonts w:ascii="Arial" w:hAnsi="Arial" w:cs="Arial"/>
                <w:color w:val="7030A0"/>
              </w:rPr>
              <w:t xml:space="preserve">reference to test results </w:t>
            </w:r>
            <w:r w:rsidR="00FC3805">
              <w:rPr>
                <w:rFonts w:ascii="Arial" w:hAnsi="Arial" w:cs="Arial"/>
                <w:color w:val="7030A0"/>
              </w:rPr>
              <w:t xml:space="preserve">and use under Admission Criteria A and B. </w:t>
            </w:r>
            <w:r w:rsidRPr="0041373D">
              <w:rPr>
                <w:rFonts w:ascii="Arial" w:hAnsi="Arial" w:cs="Arial"/>
                <w:color w:val="7030A0"/>
              </w:rPr>
              <w:t xml:space="preserve">The </w:t>
            </w:r>
            <w:r w:rsidR="00E8269B" w:rsidRPr="0041373D">
              <w:rPr>
                <w:rFonts w:ascii="Arial" w:hAnsi="Arial" w:cs="Arial"/>
                <w:color w:val="7030A0"/>
              </w:rPr>
              <w:t>Admission Policy template will be reposted with th</w:t>
            </w:r>
            <w:r w:rsidR="00370821" w:rsidRPr="0041373D">
              <w:rPr>
                <w:rFonts w:ascii="Arial" w:hAnsi="Arial" w:cs="Arial"/>
                <w:color w:val="7030A0"/>
              </w:rPr>
              <w:t>e above change</w:t>
            </w:r>
            <w:r w:rsidR="00634D6C" w:rsidRPr="0041373D">
              <w:rPr>
                <w:rFonts w:ascii="Arial" w:hAnsi="Arial" w:cs="Arial"/>
                <w:color w:val="7030A0"/>
              </w:rPr>
              <w:t xml:space="preserve"> as a requirement</w:t>
            </w:r>
            <w:r w:rsidR="00E8269B" w:rsidRPr="0041373D">
              <w:rPr>
                <w:rFonts w:ascii="Arial" w:hAnsi="Arial" w:cs="Arial"/>
                <w:color w:val="7030A0"/>
              </w:rPr>
              <w:t xml:space="preserve">. </w:t>
            </w:r>
          </w:p>
        </w:tc>
      </w:tr>
      <w:tr w:rsidR="0041373D" w:rsidRPr="0041373D" w14:paraId="4E669FBC" w14:textId="77777777" w:rsidTr="00B70CA7">
        <w:trPr>
          <w:trHeight w:val="1339"/>
        </w:trPr>
        <w:tc>
          <w:tcPr>
            <w:tcW w:w="831" w:type="dxa"/>
            <w:vMerge/>
            <w:vAlign w:val="center"/>
          </w:tcPr>
          <w:p w14:paraId="6D61E07B" w14:textId="77777777" w:rsidR="003D4A76" w:rsidRPr="00DB05A7" w:rsidRDefault="003D4A76" w:rsidP="007816A2">
            <w:pPr>
              <w:ind w:left="69"/>
              <w:jc w:val="center"/>
              <w:rPr>
                <w:rFonts w:ascii="Arial" w:hAnsi="Arial" w:cs="Arial"/>
              </w:rPr>
            </w:pPr>
          </w:p>
        </w:tc>
        <w:tc>
          <w:tcPr>
            <w:tcW w:w="1869" w:type="dxa"/>
            <w:vMerge/>
            <w:vAlign w:val="center"/>
          </w:tcPr>
          <w:p w14:paraId="5EEDCFB5" w14:textId="77777777" w:rsidR="003D4A76" w:rsidRPr="00DB05A7" w:rsidRDefault="003D4A76" w:rsidP="007816A2">
            <w:pPr>
              <w:rPr>
                <w:rFonts w:ascii="Arial" w:hAnsi="Arial" w:cs="Arial"/>
                <w:i/>
                <w:iCs/>
              </w:rPr>
            </w:pPr>
          </w:p>
        </w:tc>
        <w:tc>
          <w:tcPr>
            <w:tcW w:w="4497" w:type="dxa"/>
            <w:vMerge/>
            <w:vAlign w:val="center"/>
          </w:tcPr>
          <w:p w14:paraId="64464ADD" w14:textId="77777777" w:rsidR="003D4A76" w:rsidRPr="00DB05A7" w:rsidRDefault="003D4A76" w:rsidP="007816A2">
            <w:pPr>
              <w:rPr>
                <w:rFonts w:ascii="Arial" w:hAnsi="Arial" w:cs="Arial"/>
                <w:b/>
                <w:bCs/>
                <w:color w:val="0070C0"/>
              </w:rPr>
            </w:pPr>
          </w:p>
        </w:tc>
        <w:tc>
          <w:tcPr>
            <w:tcW w:w="5403" w:type="dxa"/>
            <w:vAlign w:val="center"/>
          </w:tcPr>
          <w:p w14:paraId="77B2E0A4" w14:textId="0FD50173" w:rsidR="003D4A76" w:rsidRPr="008D5241" w:rsidRDefault="00B15B81" w:rsidP="00B15B81">
            <w:pPr>
              <w:rPr>
                <w:rFonts w:ascii="Arial" w:hAnsi="Arial" w:cs="Arial"/>
              </w:rPr>
            </w:pPr>
            <w:r w:rsidRPr="001B7B1D">
              <w:rPr>
                <w:rFonts w:ascii="Arial" w:hAnsi="Arial" w:cs="Arial"/>
              </w:rPr>
              <w:t xml:space="preserve">Toxicology Testing should not be “an optional tool” not only when “requested by the patient.” Currently and in most </w:t>
            </w:r>
            <w:proofErr w:type="gramStart"/>
            <w:r w:rsidRPr="001B7B1D">
              <w:rPr>
                <w:rFonts w:ascii="Arial" w:hAnsi="Arial" w:cs="Arial"/>
              </w:rPr>
              <w:t>programs</w:t>
            </w:r>
            <w:proofErr w:type="gramEnd"/>
            <w:r w:rsidRPr="001B7B1D">
              <w:rPr>
                <w:rFonts w:ascii="Arial" w:hAnsi="Arial" w:cs="Arial"/>
              </w:rPr>
              <w:t xml:space="preserve"> testing is required for all patients both on a regular basis and when there is cause for suspicion of recent use. This is an important part of programmatic efforts to maintain a safe environment and should not be reduced or eliminated.</w:t>
            </w:r>
          </w:p>
        </w:tc>
        <w:tc>
          <w:tcPr>
            <w:tcW w:w="5861" w:type="dxa"/>
            <w:shd w:val="clear" w:color="auto" w:fill="E7E6E6" w:themeFill="background2"/>
            <w:vAlign w:val="center"/>
          </w:tcPr>
          <w:p w14:paraId="26913635" w14:textId="77777777" w:rsidR="001F27F8" w:rsidRPr="0041373D" w:rsidRDefault="001F27F8" w:rsidP="007816A2">
            <w:pPr>
              <w:rPr>
                <w:rFonts w:ascii="Arial" w:hAnsi="Arial" w:cs="Arial"/>
                <w:color w:val="7030A0"/>
                <w:sz w:val="10"/>
                <w:szCs w:val="10"/>
              </w:rPr>
            </w:pPr>
          </w:p>
          <w:p w14:paraId="22B036B4" w14:textId="63CB232C" w:rsidR="00F85894" w:rsidRPr="0041373D" w:rsidRDefault="00AE04A0" w:rsidP="007816A2">
            <w:pPr>
              <w:rPr>
                <w:rFonts w:ascii="Arial" w:hAnsi="Arial" w:cs="Arial"/>
                <w:color w:val="7030A0"/>
              </w:rPr>
            </w:pPr>
            <w:r w:rsidRPr="0041373D">
              <w:rPr>
                <w:rFonts w:ascii="Arial" w:hAnsi="Arial" w:cs="Arial"/>
                <w:color w:val="7030A0"/>
              </w:rPr>
              <w:t>A cornerstone of DMC-ODS</w:t>
            </w:r>
            <w:r w:rsidR="00350DF9" w:rsidRPr="0041373D">
              <w:rPr>
                <w:rFonts w:ascii="Arial" w:hAnsi="Arial" w:cs="Arial"/>
                <w:color w:val="7030A0"/>
              </w:rPr>
              <w:t>,</w:t>
            </w:r>
            <w:r w:rsidRPr="0041373D">
              <w:rPr>
                <w:rFonts w:ascii="Arial" w:hAnsi="Arial" w:cs="Arial"/>
                <w:color w:val="7030A0"/>
              </w:rPr>
              <w:t xml:space="preserve"> and now CalAIM</w:t>
            </w:r>
            <w:r w:rsidR="00350DF9" w:rsidRPr="0041373D">
              <w:rPr>
                <w:rFonts w:ascii="Arial" w:hAnsi="Arial" w:cs="Arial"/>
                <w:color w:val="7030A0"/>
              </w:rPr>
              <w:t>,</w:t>
            </w:r>
            <w:r w:rsidRPr="0041373D">
              <w:rPr>
                <w:rFonts w:ascii="Arial" w:hAnsi="Arial" w:cs="Arial"/>
                <w:color w:val="7030A0"/>
              </w:rPr>
              <w:t xml:space="preserve"> is to </w:t>
            </w:r>
            <w:r w:rsidR="00832E09" w:rsidRPr="0041373D">
              <w:rPr>
                <w:rFonts w:ascii="Arial" w:hAnsi="Arial" w:cs="Arial"/>
                <w:color w:val="7030A0"/>
              </w:rPr>
              <w:t xml:space="preserve">provide </w:t>
            </w:r>
            <w:r w:rsidR="000732C3" w:rsidRPr="0041373D">
              <w:rPr>
                <w:rFonts w:ascii="Arial" w:hAnsi="Arial" w:cs="Arial"/>
                <w:color w:val="7030A0"/>
              </w:rPr>
              <w:t xml:space="preserve">services </w:t>
            </w:r>
            <w:r w:rsidR="00832E09" w:rsidRPr="0041373D">
              <w:rPr>
                <w:rFonts w:ascii="Arial" w:hAnsi="Arial" w:cs="Arial"/>
                <w:color w:val="7030A0"/>
              </w:rPr>
              <w:t xml:space="preserve">that </w:t>
            </w:r>
            <w:r w:rsidR="000732C3" w:rsidRPr="0041373D">
              <w:rPr>
                <w:rFonts w:ascii="Arial" w:hAnsi="Arial" w:cs="Arial"/>
                <w:color w:val="7030A0"/>
              </w:rPr>
              <w:t xml:space="preserve">are </w:t>
            </w:r>
            <w:r w:rsidR="000732C3" w:rsidRPr="0041373D">
              <w:rPr>
                <w:rFonts w:ascii="Arial" w:hAnsi="Arial" w:cs="Arial"/>
                <w:color w:val="7030A0"/>
                <w:u w:val="single"/>
              </w:rPr>
              <w:t>patient-centered</w:t>
            </w:r>
            <w:r w:rsidR="000732C3" w:rsidRPr="0041373D">
              <w:rPr>
                <w:rFonts w:ascii="Arial" w:hAnsi="Arial" w:cs="Arial"/>
                <w:color w:val="7030A0"/>
              </w:rPr>
              <w:t xml:space="preserve"> and not </w:t>
            </w:r>
            <w:r w:rsidR="008D4690" w:rsidRPr="0041373D">
              <w:rPr>
                <w:rFonts w:ascii="Arial" w:hAnsi="Arial" w:cs="Arial"/>
                <w:color w:val="7030A0"/>
                <w:u w:val="single"/>
              </w:rPr>
              <w:t>program</w:t>
            </w:r>
            <w:r w:rsidR="000732C3" w:rsidRPr="0041373D">
              <w:rPr>
                <w:rFonts w:ascii="Arial" w:hAnsi="Arial" w:cs="Arial"/>
                <w:color w:val="7030A0"/>
                <w:u w:val="single"/>
              </w:rPr>
              <w:t>-centered</w:t>
            </w:r>
            <w:r w:rsidR="000732C3" w:rsidRPr="0041373D">
              <w:rPr>
                <w:rFonts w:ascii="Arial" w:hAnsi="Arial" w:cs="Arial"/>
                <w:color w:val="7030A0"/>
              </w:rPr>
              <w:t>,</w:t>
            </w:r>
            <w:r w:rsidR="00832E09" w:rsidRPr="0041373D">
              <w:rPr>
                <w:rFonts w:ascii="Arial" w:hAnsi="Arial" w:cs="Arial"/>
                <w:color w:val="7030A0"/>
              </w:rPr>
              <w:t xml:space="preserve"> in other words services </w:t>
            </w:r>
            <w:r w:rsidR="008E337B" w:rsidRPr="0041373D">
              <w:rPr>
                <w:rFonts w:ascii="Arial" w:hAnsi="Arial" w:cs="Arial"/>
                <w:color w:val="7030A0"/>
              </w:rPr>
              <w:t>cann</w:t>
            </w:r>
            <w:r w:rsidR="00832E09" w:rsidRPr="0041373D">
              <w:rPr>
                <w:rFonts w:ascii="Arial" w:hAnsi="Arial" w:cs="Arial"/>
                <w:color w:val="7030A0"/>
              </w:rPr>
              <w:t>ot be “cookie-cutter”</w:t>
            </w:r>
            <w:r w:rsidR="00F85894" w:rsidRPr="0041373D">
              <w:rPr>
                <w:rFonts w:ascii="Arial" w:hAnsi="Arial" w:cs="Arial"/>
                <w:color w:val="7030A0"/>
              </w:rPr>
              <w:t xml:space="preserve"> </w:t>
            </w:r>
            <w:r w:rsidR="008E337B" w:rsidRPr="0041373D">
              <w:rPr>
                <w:rFonts w:ascii="Arial" w:hAnsi="Arial" w:cs="Arial"/>
                <w:color w:val="7030A0"/>
              </w:rPr>
              <w:t xml:space="preserve">and apply to </w:t>
            </w:r>
            <w:r w:rsidR="00F85894" w:rsidRPr="0041373D">
              <w:rPr>
                <w:rFonts w:ascii="Arial" w:hAnsi="Arial" w:cs="Arial"/>
                <w:color w:val="7030A0"/>
              </w:rPr>
              <w:t>each person coming to the program.</w:t>
            </w:r>
          </w:p>
          <w:p w14:paraId="7BB3C8AB" w14:textId="77777777" w:rsidR="00F85894" w:rsidRPr="0041373D" w:rsidRDefault="00F85894" w:rsidP="007816A2">
            <w:pPr>
              <w:rPr>
                <w:rFonts w:ascii="Arial" w:hAnsi="Arial" w:cs="Arial"/>
                <w:color w:val="7030A0"/>
              </w:rPr>
            </w:pPr>
          </w:p>
          <w:p w14:paraId="53D4514C" w14:textId="3C03622E" w:rsidR="003D4A76" w:rsidRPr="0041373D" w:rsidRDefault="003E7BA5" w:rsidP="007816A2">
            <w:pPr>
              <w:rPr>
                <w:rFonts w:ascii="Arial" w:hAnsi="Arial" w:cs="Arial"/>
                <w:color w:val="7030A0"/>
              </w:rPr>
            </w:pPr>
            <w:r w:rsidRPr="0041373D">
              <w:rPr>
                <w:rFonts w:ascii="Arial" w:hAnsi="Arial" w:cs="Arial"/>
                <w:color w:val="7030A0"/>
              </w:rPr>
              <w:t>The purpose of this addition was to explicitly work with providers to rethink how testing is used in programs.</w:t>
            </w:r>
            <w:r w:rsidR="00D73229" w:rsidRPr="0041373D">
              <w:rPr>
                <w:rFonts w:ascii="Arial" w:hAnsi="Arial" w:cs="Arial"/>
                <w:color w:val="7030A0"/>
              </w:rPr>
              <w:t xml:space="preserve"> If patients can engage in </w:t>
            </w:r>
            <w:r w:rsidR="006A56B2" w:rsidRPr="0041373D">
              <w:rPr>
                <w:rFonts w:ascii="Arial" w:hAnsi="Arial" w:cs="Arial"/>
                <w:color w:val="7030A0"/>
              </w:rPr>
              <w:t>treatment without a commitment to abstinence</w:t>
            </w:r>
            <w:r w:rsidR="21745C0D" w:rsidRPr="0041373D">
              <w:rPr>
                <w:rFonts w:ascii="Arial" w:hAnsi="Arial" w:cs="Arial"/>
                <w:color w:val="7030A0"/>
              </w:rPr>
              <w:t>,</w:t>
            </w:r>
            <w:r w:rsidR="006A56B2" w:rsidRPr="0041373D">
              <w:rPr>
                <w:rFonts w:ascii="Arial" w:hAnsi="Arial" w:cs="Arial"/>
                <w:color w:val="7030A0"/>
              </w:rPr>
              <w:t xml:space="preserve"> then </w:t>
            </w:r>
            <w:r w:rsidR="535619C5" w:rsidRPr="0041373D">
              <w:rPr>
                <w:rFonts w:ascii="Arial" w:hAnsi="Arial" w:cs="Arial"/>
                <w:color w:val="7030A0"/>
              </w:rPr>
              <w:t xml:space="preserve">a positive toxicology/drug test should not result in discharge or adverse impact on their ability to remain in care. Fundamentally, toxicology/drug testing is based on patient choice because there is no </w:t>
            </w:r>
            <w:r w:rsidR="004E1E02">
              <w:rPr>
                <w:rFonts w:ascii="Arial" w:hAnsi="Arial" w:cs="Arial"/>
                <w:color w:val="7030A0"/>
              </w:rPr>
              <w:t>mechanism to</w:t>
            </w:r>
            <w:r w:rsidR="535619C5" w:rsidRPr="0041373D">
              <w:rPr>
                <w:rFonts w:ascii="Arial" w:hAnsi="Arial" w:cs="Arial"/>
                <w:color w:val="7030A0"/>
              </w:rPr>
              <w:t xml:space="preserve"> force testing</w:t>
            </w:r>
            <w:r w:rsidR="004E1E02">
              <w:rPr>
                <w:rFonts w:ascii="Arial" w:hAnsi="Arial" w:cs="Arial"/>
                <w:color w:val="7030A0"/>
              </w:rPr>
              <w:t xml:space="preserve"> involuntarily</w:t>
            </w:r>
            <w:r w:rsidR="535619C5" w:rsidRPr="0041373D">
              <w:rPr>
                <w:rFonts w:ascii="Arial" w:hAnsi="Arial" w:cs="Arial"/>
                <w:color w:val="7030A0"/>
              </w:rPr>
              <w:t>.</w:t>
            </w:r>
            <w:r w:rsidR="004E1E02">
              <w:rPr>
                <w:rFonts w:ascii="Arial" w:hAnsi="Arial" w:cs="Arial"/>
                <w:color w:val="7030A0"/>
              </w:rPr>
              <w:t xml:space="preserve"> When patients decline to participate in testing, that is clinical information that provider agency’s treatment staff can use to determine clinically appropriate next steps in the patient’s plan of care.</w:t>
            </w:r>
          </w:p>
          <w:p w14:paraId="02B88FB7" w14:textId="1247F416" w:rsidR="0092F9E2" w:rsidRPr="0041373D" w:rsidRDefault="0092F9E2" w:rsidP="0092F9E2">
            <w:pPr>
              <w:rPr>
                <w:rFonts w:ascii="Arial" w:hAnsi="Arial" w:cs="Arial"/>
                <w:color w:val="7030A0"/>
              </w:rPr>
            </w:pPr>
          </w:p>
          <w:p w14:paraId="27F202DE" w14:textId="77777777" w:rsidR="00C6278A" w:rsidRDefault="32375E0D" w:rsidP="007816A2">
            <w:pPr>
              <w:rPr>
                <w:rFonts w:ascii="Arial" w:hAnsi="Arial" w:cs="Arial"/>
                <w:color w:val="7030A0"/>
              </w:rPr>
            </w:pPr>
            <w:r w:rsidRPr="0041373D">
              <w:rPr>
                <w:rFonts w:ascii="Arial" w:hAnsi="Arial" w:cs="Arial"/>
                <w:color w:val="7030A0"/>
              </w:rPr>
              <w:t xml:space="preserve">For these reasons, SAPC is supportive of its agencies using toxicology tests as </w:t>
            </w:r>
            <w:r w:rsidR="00AA3418" w:rsidRPr="0041373D">
              <w:rPr>
                <w:rFonts w:ascii="Arial" w:hAnsi="Arial" w:cs="Arial"/>
                <w:color w:val="7030A0"/>
              </w:rPr>
              <w:t xml:space="preserve">clinical tools to inform </w:t>
            </w:r>
            <w:r w:rsidR="00FC0012" w:rsidRPr="0041373D">
              <w:rPr>
                <w:rFonts w:ascii="Arial" w:hAnsi="Arial" w:cs="Arial"/>
                <w:color w:val="7030A0"/>
              </w:rPr>
              <w:t>the patient’s individualized plan of care</w:t>
            </w:r>
            <w:r w:rsidR="0037624D" w:rsidRPr="0041373D">
              <w:rPr>
                <w:rFonts w:ascii="Arial" w:hAnsi="Arial" w:cs="Arial"/>
                <w:color w:val="7030A0"/>
              </w:rPr>
              <w:t xml:space="preserve">, </w:t>
            </w:r>
            <w:r w:rsidR="000927CD" w:rsidRPr="0041373D">
              <w:rPr>
                <w:rFonts w:ascii="Arial" w:hAnsi="Arial" w:cs="Arial"/>
                <w:color w:val="7030A0"/>
              </w:rPr>
              <w:t xml:space="preserve">but not as barriers to </w:t>
            </w:r>
            <w:r w:rsidR="00E72AFE" w:rsidRPr="0041373D">
              <w:rPr>
                <w:rFonts w:ascii="Arial" w:hAnsi="Arial" w:cs="Arial"/>
                <w:color w:val="7030A0"/>
              </w:rPr>
              <w:t xml:space="preserve">initiation of care or </w:t>
            </w:r>
            <w:r w:rsidR="00776ACE" w:rsidRPr="0041373D">
              <w:rPr>
                <w:rFonts w:ascii="Arial" w:hAnsi="Arial" w:cs="Arial"/>
                <w:color w:val="7030A0"/>
              </w:rPr>
              <w:t>itself an</w:t>
            </w:r>
            <w:r w:rsidR="00943D49" w:rsidRPr="0041373D">
              <w:rPr>
                <w:rFonts w:ascii="Arial" w:hAnsi="Arial" w:cs="Arial"/>
                <w:color w:val="7030A0"/>
              </w:rPr>
              <w:t xml:space="preserve"> </w:t>
            </w:r>
            <w:r w:rsidR="00CC7649" w:rsidRPr="00EB06CD">
              <w:rPr>
                <w:rFonts w:ascii="Arial" w:hAnsi="Arial" w:cs="Arial"/>
                <w:color w:val="7030A0"/>
                <w:u w:val="single"/>
              </w:rPr>
              <w:t>automatic</w:t>
            </w:r>
            <w:r w:rsidR="00943D49" w:rsidRPr="0041373D">
              <w:rPr>
                <w:rFonts w:ascii="Arial" w:hAnsi="Arial" w:cs="Arial"/>
                <w:color w:val="7030A0"/>
              </w:rPr>
              <w:t xml:space="preserve"> trigger of discharge without consideration of </w:t>
            </w:r>
            <w:r w:rsidR="00AF3487" w:rsidRPr="0041373D">
              <w:rPr>
                <w:rFonts w:ascii="Arial" w:hAnsi="Arial" w:cs="Arial"/>
                <w:color w:val="7030A0"/>
              </w:rPr>
              <w:t>patients’</w:t>
            </w:r>
            <w:r w:rsidR="00943D49" w:rsidRPr="0041373D">
              <w:rPr>
                <w:rFonts w:ascii="Arial" w:hAnsi="Arial" w:cs="Arial"/>
                <w:color w:val="7030A0"/>
              </w:rPr>
              <w:t xml:space="preserve"> full clinical </w:t>
            </w:r>
            <w:r w:rsidR="009C5DCE" w:rsidRPr="0041373D">
              <w:rPr>
                <w:rFonts w:ascii="Arial" w:hAnsi="Arial" w:cs="Arial"/>
                <w:color w:val="7030A0"/>
              </w:rPr>
              <w:t xml:space="preserve">circumstances. </w:t>
            </w:r>
            <w:r w:rsidR="1EBB6773" w:rsidRPr="0041373D">
              <w:rPr>
                <w:rFonts w:ascii="Arial" w:hAnsi="Arial" w:cs="Arial"/>
                <w:color w:val="7030A0"/>
              </w:rPr>
              <w:t xml:space="preserve">SAPC is moving </w:t>
            </w:r>
            <w:r w:rsidR="009C5DCE" w:rsidRPr="0041373D">
              <w:rPr>
                <w:rFonts w:ascii="Arial" w:hAnsi="Arial" w:cs="Arial"/>
                <w:color w:val="7030A0"/>
              </w:rPr>
              <w:t>our</w:t>
            </w:r>
            <w:r w:rsidR="1EBB6773" w:rsidRPr="0041373D">
              <w:rPr>
                <w:rFonts w:ascii="Arial" w:hAnsi="Arial" w:cs="Arial"/>
                <w:color w:val="7030A0"/>
              </w:rPr>
              <w:t xml:space="preserve"> system of care to a lower barrier model of SUD care and those </w:t>
            </w:r>
            <w:r w:rsidR="1A5A819C" w:rsidRPr="0041373D">
              <w:rPr>
                <w:rFonts w:ascii="Arial" w:hAnsi="Arial" w:cs="Arial"/>
                <w:color w:val="7030A0"/>
              </w:rPr>
              <w:t>practices</w:t>
            </w:r>
            <w:r w:rsidR="1EBB6773" w:rsidRPr="0041373D">
              <w:rPr>
                <w:rFonts w:ascii="Arial" w:hAnsi="Arial" w:cs="Arial"/>
                <w:color w:val="7030A0"/>
              </w:rPr>
              <w:t xml:space="preserve"> are inconsistent with low barrier care.</w:t>
            </w:r>
            <w:r w:rsidR="35D3BAE0" w:rsidRPr="0041373D">
              <w:rPr>
                <w:rFonts w:ascii="Arial" w:hAnsi="Arial" w:cs="Arial"/>
                <w:color w:val="7030A0"/>
              </w:rPr>
              <w:t xml:space="preserve"> </w:t>
            </w:r>
            <w:r w:rsidR="00DD120C" w:rsidRPr="0041373D">
              <w:rPr>
                <w:rFonts w:ascii="Arial" w:hAnsi="Arial" w:cs="Arial"/>
                <w:color w:val="7030A0"/>
              </w:rPr>
              <w:t xml:space="preserve">Many patients will </w:t>
            </w:r>
            <w:r w:rsidR="00AA50D6" w:rsidRPr="0041373D">
              <w:rPr>
                <w:rFonts w:ascii="Arial" w:hAnsi="Arial" w:cs="Arial"/>
                <w:color w:val="7030A0"/>
              </w:rPr>
              <w:t xml:space="preserve">want to commit to or </w:t>
            </w:r>
            <w:r w:rsidR="00967E0F" w:rsidRPr="0041373D">
              <w:rPr>
                <w:rFonts w:ascii="Arial" w:hAnsi="Arial" w:cs="Arial"/>
                <w:color w:val="7030A0"/>
              </w:rPr>
              <w:t>progress to</w:t>
            </w:r>
            <w:r w:rsidR="00273275">
              <w:rPr>
                <w:rFonts w:ascii="Arial" w:hAnsi="Arial" w:cs="Arial"/>
                <w:color w:val="7030A0"/>
              </w:rPr>
              <w:t>wards</w:t>
            </w:r>
            <w:r w:rsidR="00967E0F" w:rsidRPr="0041373D">
              <w:rPr>
                <w:rFonts w:ascii="Arial" w:hAnsi="Arial" w:cs="Arial"/>
                <w:color w:val="7030A0"/>
              </w:rPr>
              <w:t xml:space="preserve"> abstinence-based goals at some point during the treatment episode, which is encouraged but there also needs to be a focused effort to support patients who are not ready to commit to abstinence or lapse during care. </w:t>
            </w:r>
          </w:p>
          <w:p w14:paraId="589B930C" w14:textId="77777777" w:rsidR="00E34861" w:rsidRDefault="00E34861" w:rsidP="007816A2">
            <w:pPr>
              <w:rPr>
                <w:rFonts w:ascii="Arial" w:hAnsi="Arial" w:cs="Arial"/>
                <w:color w:val="7030A0"/>
              </w:rPr>
            </w:pPr>
          </w:p>
          <w:p w14:paraId="34196C90" w14:textId="6454C0C2" w:rsidR="00E34861" w:rsidRPr="0041373D" w:rsidRDefault="00E34861" w:rsidP="007816A2">
            <w:pPr>
              <w:rPr>
                <w:rFonts w:ascii="Arial" w:hAnsi="Arial" w:cs="Arial"/>
                <w:color w:val="7030A0"/>
              </w:rPr>
            </w:pPr>
            <w:r>
              <w:rPr>
                <w:rFonts w:ascii="Arial" w:hAnsi="Arial" w:cs="Arial"/>
                <w:color w:val="7030A0"/>
              </w:rPr>
              <w:t>The definition was revised as outlined above.</w:t>
            </w:r>
          </w:p>
        </w:tc>
      </w:tr>
      <w:tr w:rsidR="0041373D" w:rsidRPr="0041373D" w14:paraId="5E44EF9D" w14:textId="77777777" w:rsidTr="00D26351">
        <w:trPr>
          <w:trHeight w:val="3719"/>
        </w:trPr>
        <w:tc>
          <w:tcPr>
            <w:tcW w:w="831" w:type="dxa"/>
            <w:vMerge/>
            <w:vAlign w:val="center"/>
          </w:tcPr>
          <w:p w14:paraId="4C9951E3" w14:textId="77777777" w:rsidR="003D4A76" w:rsidRPr="00DB05A7" w:rsidRDefault="003D4A76" w:rsidP="007816A2">
            <w:pPr>
              <w:ind w:left="69"/>
              <w:jc w:val="center"/>
              <w:rPr>
                <w:rFonts w:ascii="Arial" w:hAnsi="Arial" w:cs="Arial"/>
              </w:rPr>
            </w:pPr>
          </w:p>
        </w:tc>
        <w:tc>
          <w:tcPr>
            <w:tcW w:w="1869" w:type="dxa"/>
            <w:vMerge/>
            <w:vAlign w:val="center"/>
          </w:tcPr>
          <w:p w14:paraId="30E760A9" w14:textId="77777777" w:rsidR="003D4A76" w:rsidRPr="00DB05A7" w:rsidRDefault="003D4A76" w:rsidP="007816A2">
            <w:pPr>
              <w:rPr>
                <w:rFonts w:ascii="Arial" w:hAnsi="Arial" w:cs="Arial"/>
                <w:i/>
                <w:iCs/>
              </w:rPr>
            </w:pPr>
          </w:p>
        </w:tc>
        <w:tc>
          <w:tcPr>
            <w:tcW w:w="4497" w:type="dxa"/>
            <w:vMerge/>
            <w:vAlign w:val="center"/>
          </w:tcPr>
          <w:p w14:paraId="3773FC27" w14:textId="77777777" w:rsidR="003D4A76" w:rsidRPr="00DB05A7" w:rsidRDefault="003D4A76" w:rsidP="007816A2">
            <w:pPr>
              <w:rPr>
                <w:rFonts w:ascii="Arial" w:hAnsi="Arial" w:cs="Arial"/>
                <w:b/>
                <w:bCs/>
                <w:color w:val="0070C0"/>
              </w:rPr>
            </w:pPr>
          </w:p>
        </w:tc>
        <w:tc>
          <w:tcPr>
            <w:tcW w:w="5403" w:type="dxa"/>
            <w:vAlign w:val="center"/>
          </w:tcPr>
          <w:p w14:paraId="779D25F4" w14:textId="346BF753" w:rsidR="003D4A76" w:rsidRPr="00540F85" w:rsidRDefault="00540F85" w:rsidP="007816A2">
            <w:pPr>
              <w:rPr>
                <w:rStyle w:val="ui-provider"/>
                <w:rFonts w:ascii="Arial" w:hAnsi="Arial" w:cs="Arial"/>
              </w:rPr>
            </w:pPr>
            <w:r w:rsidRPr="001B7B1D">
              <w:rPr>
                <w:rFonts w:ascii="Arial" w:hAnsi="Arial" w:cs="Arial"/>
              </w:rPr>
              <w:t>Some agencies require toxicology testing for enrollment to program or for purposes of treatment and services. (</w:t>
            </w:r>
            <w:proofErr w:type="gramStart"/>
            <w:r w:rsidRPr="001B7B1D">
              <w:rPr>
                <w:rFonts w:ascii="Arial" w:hAnsi="Arial" w:cs="Arial"/>
              </w:rPr>
              <w:t>e.g.</w:t>
            </w:r>
            <w:proofErr w:type="gramEnd"/>
            <w:r w:rsidRPr="001B7B1D">
              <w:rPr>
                <w:rFonts w:ascii="Arial" w:hAnsi="Arial" w:cs="Arial"/>
              </w:rPr>
              <w:t xml:space="preserve"> OTP programs)</w:t>
            </w:r>
          </w:p>
        </w:tc>
        <w:tc>
          <w:tcPr>
            <w:tcW w:w="5861" w:type="dxa"/>
            <w:shd w:val="clear" w:color="auto" w:fill="E7E6E6" w:themeFill="background2"/>
            <w:vAlign w:val="center"/>
          </w:tcPr>
          <w:p w14:paraId="0A774510" w14:textId="574784D5" w:rsidR="003D4A76" w:rsidRPr="0041373D" w:rsidRDefault="003A2A3D" w:rsidP="007816A2">
            <w:pPr>
              <w:rPr>
                <w:rFonts w:ascii="Arial" w:hAnsi="Arial" w:cs="Arial"/>
                <w:color w:val="7030A0"/>
              </w:rPr>
            </w:pPr>
            <w:r w:rsidRPr="0041373D">
              <w:rPr>
                <w:rFonts w:ascii="Arial" w:hAnsi="Arial" w:cs="Arial"/>
                <w:color w:val="7030A0"/>
              </w:rPr>
              <w:t xml:space="preserve">A “positive” </w:t>
            </w:r>
            <w:r w:rsidR="00EE1CF0" w:rsidRPr="0041373D">
              <w:rPr>
                <w:rFonts w:ascii="Arial" w:hAnsi="Arial" w:cs="Arial"/>
                <w:color w:val="7030A0"/>
              </w:rPr>
              <w:t>test for alcohol or drugs</w:t>
            </w:r>
            <w:r w:rsidR="00247792" w:rsidRPr="0041373D">
              <w:rPr>
                <w:rFonts w:ascii="Arial" w:hAnsi="Arial" w:cs="Arial"/>
                <w:color w:val="7030A0"/>
              </w:rPr>
              <w:t xml:space="preserve"> cannot be </w:t>
            </w:r>
            <w:r w:rsidR="00535176" w:rsidRPr="0041373D">
              <w:rPr>
                <w:rFonts w:ascii="Arial" w:hAnsi="Arial" w:cs="Arial"/>
                <w:color w:val="7030A0"/>
              </w:rPr>
              <w:t xml:space="preserve">a </w:t>
            </w:r>
            <w:r w:rsidR="00535176" w:rsidRPr="0041373D">
              <w:rPr>
                <w:rFonts w:ascii="Arial" w:hAnsi="Arial" w:cs="Arial"/>
                <w:color w:val="7030A0"/>
                <w:u w:val="single"/>
              </w:rPr>
              <w:t>requirement</w:t>
            </w:r>
            <w:r w:rsidR="00535176" w:rsidRPr="0041373D">
              <w:rPr>
                <w:rFonts w:ascii="Arial" w:hAnsi="Arial" w:cs="Arial"/>
                <w:color w:val="7030A0"/>
              </w:rPr>
              <w:t xml:space="preserve"> </w:t>
            </w:r>
            <w:r w:rsidR="00247792" w:rsidRPr="0041373D">
              <w:rPr>
                <w:rFonts w:ascii="Arial" w:hAnsi="Arial" w:cs="Arial"/>
                <w:color w:val="7030A0"/>
              </w:rPr>
              <w:t>or pre</w:t>
            </w:r>
            <w:r w:rsidR="4C6638BD" w:rsidRPr="0041373D">
              <w:rPr>
                <w:rFonts w:ascii="Arial" w:hAnsi="Arial" w:cs="Arial"/>
                <w:color w:val="7030A0"/>
              </w:rPr>
              <w:t>requisite</w:t>
            </w:r>
            <w:r w:rsidR="00247792" w:rsidRPr="0041373D">
              <w:rPr>
                <w:rFonts w:ascii="Arial" w:hAnsi="Arial" w:cs="Arial"/>
                <w:color w:val="7030A0"/>
              </w:rPr>
              <w:t xml:space="preserve"> </w:t>
            </w:r>
            <w:r w:rsidR="00535176" w:rsidRPr="0041373D">
              <w:rPr>
                <w:rFonts w:ascii="Arial" w:hAnsi="Arial" w:cs="Arial"/>
                <w:color w:val="7030A0"/>
              </w:rPr>
              <w:t>to</w:t>
            </w:r>
            <w:r w:rsidR="00247792" w:rsidRPr="0041373D">
              <w:rPr>
                <w:rFonts w:ascii="Arial" w:hAnsi="Arial" w:cs="Arial"/>
                <w:color w:val="7030A0"/>
              </w:rPr>
              <w:t xml:space="preserve"> program admission, however, it can be used </w:t>
            </w:r>
            <w:r w:rsidR="00FF5F6C" w:rsidRPr="0041373D">
              <w:rPr>
                <w:rFonts w:ascii="Arial" w:hAnsi="Arial" w:cs="Arial"/>
                <w:color w:val="7030A0"/>
              </w:rPr>
              <w:t xml:space="preserve">as one of many tools, </w:t>
            </w:r>
            <w:r w:rsidR="00D76C6E" w:rsidRPr="0041373D">
              <w:rPr>
                <w:rFonts w:ascii="Arial" w:hAnsi="Arial" w:cs="Arial"/>
                <w:color w:val="7030A0"/>
              </w:rPr>
              <w:t>which includes</w:t>
            </w:r>
            <w:r w:rsidR="00FF5F6C" w:rsidRPr="0041373D">
              <w:rPr>
                <w:rFonts w:ascii="Arial" w:hAnsi="Arial" w:cs="Arial"/>
                <w:color w:val="7030A0"/>
              </w:rPr>
              <w:t xml:space="preserve"> </w:t>
            </w:r>
            <w:r w:rsidR="00380068" w:rsidRPr="0041373D">
              <w:rPr>
                <w:rFonts w:ascii="Arial" w:hAnsi="Arial" w:cs="Arial"/>
                <w:color w:val="7030A0"/>
              </w:rPr>
              <w:t>clinical</w:t>
            </w:r>
            <w:r w:rsidR="00FF5F6C" w:rsidRPr="0041373D">
              <w:rPr>
                <w:rFonts w:ascii="Arial" w:hAnsi="Arial" w:cs="Arial"/>
                <w:color w:val="7030A0"/>
              </w:rPr>
              <w:t xml:space="preserve"> assessment and judgement to </w:t>
            </w:r>
            <w:r w:rsidR="00380068" w:rsidRPr="0041373D">
              <w:rPr>
                <w:rFonts w:ascii="Arial" w:hAnsi="Arial" w:cs="Arial"/>
                <w:color w:val="7030A0"/>
              </w:rPr>
              <w:t xml:space="preserve">determine if </w:t>
            </w:r>
            <w:r w:rsidR="00D76C6E" w:rsidRPr="0041373D">
              <w:rPr>
                <w:rFonts w:ascii="Arial" w:hAnsi="Arial" w:cs="Arial"/>
                <w:color w:val="7030A0"/>
              </w:rPr>
              <w:t xml:space="preserve">this is </w:t>
            </w:r>
            <w:r w:rsidR="00380068" w:rsidRPr="0041373D">
              <w:rPr>
                <w:rFonts w:ascii="Arial" w:hAnsi="Arial" w:cs="Arial"/>
                <w:color w:val="7030A0"/>
              </w:rPr>
              <w:t>the appropriate level of care.</w:t>
            </w:r>
            <w:r w:rsidR="00D76C6E" w:rsidRPr="0041373D">
              <w:rPr>
                <w:rFonts w:ascii="Arial" w:hAnsi="Arial" w:cs="Arial"/>
                <w:color w:val="7030A0"/>
              </w:rPr>
              <w:t xml:space="preserve"> Specifically, a patient cannot be turned away solely because they did not test “positive” before admission to OTP, withdrawal management, and residential as is currently the case at some service locations. </w:t>
            </w:r>
            <w:r w:rsidR="00380068" w:rsidRPr="0041373D">
              <w:rPr>
                <w:rFonts w:ascii="Arial" w:hAnsi="Arial" w:cs="Arial"/>
                <w:color w:val="7030A0"/>
              </w:rPr>
              <w:t xml:space="preserve"> </w:t>
            </w:r>
            <w:r w:rsidR="0083606F" w:rsidRPr="0041373D">
              <w:rPr>
                <w:rFonts w:ascii="Arial" w:hAnsi="Arial" w:cs="Arial"/>
                <w:color w:val="7030A0"/>
              </w:rPr>
              <w:t xml:space="preserve"> </w:t>
            </w:r>
          </w:p>
          <w:p w14:paraId="096D2F92" w14:textId="77777777" w:rsidR="00174524" w:rsidRPr="0041373D" w:rsidRDefault="00174524" w:rsidP="007816A2">
            <w:pPr>
              <w:rPr>
                <w:rFonts w:ascii="Arial" w:hAnsi="Arial" w:cs="Arial"/>
                <w:color w:val="7030A0"/>
              </w:rPr>
            </w:pPr>
          </w:p>
          <w:p w14:paraId="62C5EDE9" w14:textId="0F36D6B4" w:rsidR="00174524" w:rsidRPr="0041373D" w:rsidRDefault="00174524" w:rsidP="007816A2">
            <w:pPr>
              <w:rPr>
                <w:rFonts w:ascii="Arial" w:hAnsi="Arial" w:cs="Arial"/>
                <w:color w:val="7030A0"/>
              </w:rPr>
            </w:pPr>
            <w:r w:rsidRPr="0041373D">
              <w:rPr>
                <w:rFonts w:ascii="Arial" w:hAnsi="Arial" w:cs="Arial"/>
                <w:color w:val="7030A0"/>
              </w:rPr>
              <w:t xml:space="preserve">SAPC made the following </w:t>
            </w:r>
            <w:r w:rsidR="00D26351" w:rsidRPr="0041373D">
              <w:rPr>
                <w:rFonts w:ascii="Arial" w:hAnsi="Arial" w:cs="Arial"/>
                <w:color w:val="7030A0"/>
              </w:rPr>
              <w:t xml:space="preserve">above edit (see “toxicology testing”) </w:t>
            </w:r>
            <w:r w:rsidRPr="0041373D">
              <w:rPr>
                <w:rFonts w:ascii="Arial" w:hAnsi="Arial" w:cs="Arial"/>
                <w:color w:val="7030A0"/>
              </w:rPr>
              <w:t xml:space="preserve">to the Admission Policy to address this issue there as well. Please ensure this update is included </w:t>
            </w:r>
            <w:r w:rsidR="005766F8" w:rsidRPr="0041373D">
              <w:rPr>
                <w:rFonts w:ascii="Arial" w:hAnsi="Arial" w:cs="Arial"/>
                <w:color w:val="7030A0"/>
              </w:rPr>
              <w:t>in your Admission Policy submission</w:t>
            </w:r>
            <w:r w:rsidR="00140A9B">
              <w:rPr>
                <w:rFonts w:ascii="Arial" w:hAnsi="Arial" w:cs="Arial"/>
                <w:color w:val="7030A0"/>
              </w:rPr>
              <w:t>.</w:t>
            </w:r>
            <w:r w:rsidR="005766F8" w:rsidRPr="0041373D">
              <w:rPr>
                <w:rFonts w:ascii="Arial" w:hAnsi="Arial" w:cs="Arial"/>
                <w:color w:val="7030A0"/>
              </w:rPr>
              <w:t xml:space="preserve"> </w:t>
            </w:r>
          </w:p>
        </w:tc>
      </w:tr>
      <w:tr w:rsidR="0041373D" w:rsidRPr="0041373D" w14:paraId="27A055CE" w14:textId="77777777" w:rsidTr="00C76423">
        <w:trPr>
          <w:trHeight w:val="1456"/>
        </w:trPr>
        <w:tc>
          <w:tcPr>
            <w:tcW w:w="831" w:type="dxa"/>
            <w:vMerge/>
            <w:vAlign w:val="center"/>
          </w:tcPr>
          <w:p w14:paraId="4B51533E" w14:textId="77777777" w:rsidR="00435A60" w:rsidRPr="00DB05A7" w:rsidRDefault="00435A60" w:rsidP="007816A2">
            <w:pPr>
              <w:ind w:left="69"/>
              <w:jc w:val="center"/>
              <w:rPr>
                <w:rFonts w:ascii="Arial" w:hAnsi="Arial" w:cs="Arial"/>
              </w:rPr>
            </w:pPr>
          </w:p>
        </w:tc>
        <w:tc>
          <w:tcPr>
            <w:tcW w:w="1869" w:type="dxa"/>
            <w:vMerge/>
            <w:vAlign w:val="center"/>
          </w:tcPr>
          <w:p w14:paraId="09F35BDA" w14:textId="77777777" w:rsidR="00435A60" w:rsidRPr="00DB05A7" w:rsidRDefault="00435A60" w:rsidP="007816A2">
            <w:pPr>
              <w:rPr>
                <w:rFonts w:ascii="Arial" w:hAnsi="Arial" w:cs="Arial"/>
                <w:i/>
                <w:iCs/>
              </w:rPr>
            </w:pPr>
          </w:p>
        </w:tc>
        <w:tc>
          <w:tcPr>
            <w:tcW w:w="4497" w:type="dxa"/>
            <w:vMerge/>
            <w:vAlign w:val="center"/>
          </w:tcPr>
          <w:p w14:paraId="58176401" w14:textId="77777777" w:rsidR="00435A60" w:rsidRPr="00DB05A7" w:rsidRDefault="00435A60" w:rsidP="007816A2">
            <w:pPr>
              <w:rPr>
                <w:rFonts w:ascii="Arial" w:hAnsi="Arial" w:cs="Arial"/>
                <w:b/>
                <w:bCs/>
                <w:color w:val="0070C0"/>
              </w:rPr>
            </w:pPr>
          </w:p>
        </w:tc>
        <w:tc>
          <w:tcPr>
            <w:tcW w:w="5403" w:type="dxa"/>
            <w:vAlign w:val="center"/>
          </w:tcPr>
          <w:p w14:paraId="146461D8" w14:textId="3D7F9A90" w:rsidR="00435A60" w:rsidRPr="004C5FA5" w:rsidRDefault="004C5FA5" w:rsidP="007816A2">
            <w:pPr>
              <w:rPr>
                <w:rFonts w:ascii="Arial" w:hAnsi="Arial" w:cs="Arial"/>
              </w:rPr>
            </w:pPr>
            <w:r w:rsidRPr="004C5FA5">
              <w:rPr>
                <w:rFonts w:ascii="Arial" w:hAnsi="Arial" w:cs="Arial"/>
              </w:rPr>
              <w:t>Provider Manual 8.0 states that drug testing is required in OTPs at least once per month.</w:t>
            </w:r>
          </w:p>
        </w:tc>
        <w:tc>
          <w:tcPr>
            <w:tcW w:w="5861" w:type="dxa"/>
            <w:shd w:val="clear" w:color="auto" w:fill="E7E6E6" w:themeFill="background2"/>
            <w:vAlign w:val="center"/>
          </w:tcPr>
          <w:p w14:paraId="6A0A4906" w14:textId="0D8B7F70" w:rsidR="00435A60" w:rsidRPr="0041373D" w:rsidRDefault="662011A5" w:rsidP="007816A2">
            <w:pPr>
              <w:rPr>
                <w:rFonts w:ascii="Arial" w:hAnsi="Arial" w:cs="Arial"/>
                <w:color w:val="7030A0"/>
              </w:rPr>
            </w:pPr>
            <w:r w:rsidRPr="0041373D">
              <w:rPr>
                <w:rFonts w:ascii="Arial" w:hAnsi="Arial" w:cs="Arial"/>
                <w:color w:val="7030A0"/>
              </w:rPr>
              <w:t xml:space="preserve">California </w:t>
            </w:r>
            <w:r w:rsidR="0F6C59DD" w:rsidRPr="0041373D">
              <w:rPr>
                <w:rFonts w:ascii="Arial" w:hAnsi="Arial" w:cs="Arial"/>
                <w:color w:val="7030A0"/>
              </w:rPr>
              <w:t>r</w:t>
            </w:r>
            <w:r w:rsidR="00143784" w:rsidRPr="0041373D">
              <w:rPr>
                <w:rFonts w:ascii="Arial" w:hAnsi="Arial" w:cs="Arial"/>
                <w:color w:val="7030A0"/>
              </w:rPr>
              <w:t xml:space="preserve">egulations require a </w:t>
            </w:r>
            <w:r w:rsidR="00B64799" w:rsidRPr="0041373D">
              <w:rPr>
                <w:rFonts w:ascii="Arial" w:hAnsi="Arial" w:cs="Arial"/>
                <w:color w:val="7030A0"/>
              </w:rPr>
              <w:t xml:space="preserve">minimum of </w:t>
            </w:r>
            <w:r w:rsidR="39D4A70D" w:rsidRPr="0041373D">
              <w:rPr>
                <w:rFonts w:ascii="Arial" w:hAnsi="Arial" w:cs="Arial"/>
                <w:color w:val="7030A0"/>
              </w:rPr>
              <w:t>monthly test per year</w:t>
            </w:r>
            <w:r w:rsidR="00491F4B" w:rsidRPr="0041373D">
              <w:rPr>
                <w:rFonts w:ascii="Arial" w:hAnsi="Arial" w:cs="Arial"/>
                <w:color w:val="7030A0"/>
              </w:rPr>
              <w:t xml:space="preserve">, and </w:t>
            </w:r>
            <w:r w:rsidR="007F776D" w:rsidRPr="0041373D">
              <w:rPr>
                <w:rFonts w:ascii="Arial" w:hAnsi="Arial" w:cs="Arial"/>
                <w:color w:val="7030A0"/>
              </w:rPr>
              <w:t xml:space="preserve">when a patient fails to provide a body specimen, the OTP shall proceed as though the patient's sample from his or her body specimen disclosed the presence of </w:t>
            </w:r>
            <w:r w:rsidR="003E0BDE" w:rsidRPr="0041373D">
              <w:rPr>
                <w:rFonts w:ascii="Arial" w:hAnsi="Arial" w:cs="Arial"/>
                <w:color w:val="7030A0"/>
              </w:rPr>
              <w:t>a</w:t>
            </w:r>
            <w:r w:rsidR="00B06CFF" w:rsidRPr="0041373D">
              <w:rPr>
                <w:rFonts w:ascii="Arial" w:hAnsi="Arial" w:cs="Arial"/>
                <w:color w:val="7030A0"/>
              </w:rPr>
              <w:t xml:space="preserve">n intoxicant. </w:t>
            </w:r>
          </w:p>
        </w:tc>
      </w:tr>
      <w:tr w:rsidR="0041373D" w:rsidRPr="0041373D" w14:paraId="2A6CC528" w14:textId="77777777" w:rsidTr="007816A2">
        <w:trPr>
          <w:trHeight w:val="2240"/>
        </w:trPr>
        <w:tc>
          <w:tcPr>
            <w:tcW w:w="831" w:type="dxa"/>
            <w:vMerge/>
            <w:vAlign w:val="center"/>
          </w:tcPr>
          <w:p w14:paraId="1AC76935" w14:textId="77777777" w:rsidR="003D4A76" w:rsidRPr="00DB05A7" w:rsidRDefault="003D4A76" w:rsidP="007816A2">
            <w:pPr>
              <w:ind w:left="69"/>
              <w:jc w:val="center"/>
              <w:rPr>
                <w:rFonts w:ascii="Arial" w:hAnsi="Arial" w:cs="Arial"/>
              </w:rPr>
            </w:pPr>
          </w:p>
        </w:tc>
        <w:tc>
          <w:tcPr>
            <w:tcW w:w="1869" w:type="dxa"/>
            <w:vMerge/>
            <w:vAlign w:val="center"/>
          </w:tcPr>
          <w:p w14:paraId="6F1BE587" w14:textId="77777777" w:rsidR="003D4A76" w:rsidRPr="00DB05A7" w:rsidRDefault="003D4A76" w:rsidP="007816A2">
            <w:pPr>
              <w:rPr>
                <w:rFonts w:ascii="Arial" w:hAnsi="Arial" w:cs="Arial"/>
                <w:i/>
                <w:iCs/>
              </w:rPr>
            </w:pPr>
          </w:p>
        </w:tc>
        <w:tc>
          <w:tcPr>
            <w:tcW w:w="4497" w:type="dxa"/>
            <w:vMerge/>
            <w:vAlign w:val="center"/>
          </w:tcPr>
          <w:p w14:paraId="1C414CA1" w14:textId="77777777" w:rsidR="003D4A76" w:rsidRPr="00DB05A7" w:rsidRDefault="003D4A76" w:rsidP="007816A2">
            <w:pPr>
              <w:rPr>
                <w:rFonts w:ascii="Arial" w:hAnsi="Arial" w:cs="Arial"/>
                <w:b/>
                <w:bCs/>
                <w:color w:val="0070C0"/>
              </w:rPr>
            </w:pPr>
          </w:p>
        </w:tc>
        <w:tc>
          <w:tcPr>
            <w:tcW w:w="5403" w:type="dxa"/>
            <w:vAlign w:val="center"/>
          </w:tcPr>
          <w:p w14:paraId="26BCF3B8" w14:textId="77777777" w:rsidR="00B15B81" w:rsidRDefault="00B15B81" w:rsidP="007816A2">
            <w:pPr>
              <w:rPr>
                <w:rFonts w:ascii="Arial" w:hAnsi="Arial" w:cs="Arial"/>
              </w:rPr>
            </w:pPr>
          </w:p>
          <w:p w14:paraId="10257536" w14:textId="39DE9710" w:rsidR="00B15B81" w:rsidRPr="001B7B1D" w:rsidRDefault="00B15B81" w:rsidP="007816A2">
            <w:pPr>
              <w:rPr>
                <w:rFonts w:ascii="Arial" w:hAnsi="Arial" w:cs="Arial"/>
              </w:rPr>
            </w:pPr>
            <w:r w:rsidRPr="008D5241">
              <w:rPr>
                <w:rStyle w:val="ui-provider"/>
                <w:rFonts w:ascii="Arial" w:hAnsi="Arial" w:cs="Arial"/>
              </w:rPr>
              <w:t>Some patients may be requested or required to submit to toxicology testing as part of treatment admission (</w:t>
            </w:r>
            <w:proofErr w:type="gramStart"/>
            <w:r w:rsidRPr="008D5241">
              <w:rPr>
                <w:rStyle w:val="ui-provider"/>
                <w:rFonts w:ascii="Arial" w:hAnsi="Arial" w:cs="Arial"/>
              </w:rPr>
              <w:t>e.g.</w:t>
            </w:r>
            <w:proofErr w:type="gramEnd"/>
            <w:r w:rsidRPr="008D5241">
              <w:rPr>
                <w:rStyle w:val="ui-provider"/>
                <w:rFonts w:ascii="Arial" w:hAnsi="Arial" w:cs="Arial"/>
              </w:rPr>
              <w:t xml:space="preserve"> NTP/OTP level of care), on-going care, or due to an agreement with Probation or DCFS. Toxicology testing and result disclosure to external entities would still need to be authorized via a consent to release information.</w:t>
            </w:r>
          </w:p>
        </w:tc>
        <w:tc>
          <w:tcPr>
            <w:tcW w:w="5861" w:type="dxa"/>
            <w:shd w:val="clear" w:color="auto" w:fill="E7E6E6" w:themeFill="background2"/>
            <w:vAlign w:val="center"/>
          </w:tcPr>
          <w:p w14:paraId="080E5F5A" w14:textId="75CAB276" w:rsidR="003D4A76" w:rsidRPr="0041373D" w:rsidRDefault="00EA6709" w:rsidP="007816A2">
            <w:pPr>
              <w:rPr>
                <w:rFonts w:ascii="Arial" w:hAnsi="Arial" w:cs="Arial"/>
                <w:b/>
                <w:bCs/>
                <w:color w:val="7030A0"/>
              </w:rPr>
            </w:pPr>
            <w:r w:rsidRPr="0041373D">
              <w:rPr>
                <w:rFonts w:ascii="Arial" w:hAnsi="Arial" w:cs="Arial"/>
                <w:color w:val="7030A0"/>
              </w:rPr>
              <w:t xml:space="preserve">If Probation requires testing, it is still that patient’s choice </w:t>
            </w:r>
            <w:proofErr w:type="gramStart"/>
            <w:r w:rsidRPr="0041373D">
              <w:rPr>
                <w:rFonts w:ascii="Arial" w:hAnsi="Arial" w:cs="Arial"/>
                <w:color w:val="7030A0"/>
              </w:rPr>
              <w:t>whether or not</w:t>
            </w:r>
            <w:proofErr w:type="gramEnd"/>
            <w:r w:rsidRPr="0041373D">
              <w:rPr>
                <w:rFonts w:ascii="Arial" w:hAnsi="Arial" w:cs="Arial"/>
                <w:color w:val="7030A0"/>
              </w:rPr>
              <w:t xml:space="preserve"> to submit to testing, even when there a very real consequences for declining. </w:t>
            </w:r>
          </w:p>
        </w:tc>
      </w:tr>
      <w:tr w:rsidR="0041373D" w:rsidRPr="0041373D" w14:paraId="418DC971" w14:textId="77777777" w:rsidTr="007816A2">
        <w:trPr>
          <w:trHeight w:val="1106"/>
        </w:trPr>
        <w:tc>
          <w:tcPr>
            <w:tcW w:w="831" w:type="dxa"/>
            <w:vMerge/>
            <w:vAlign w:val="center"/>
          </w:tcPr>
          <w:p w14:paraId="4FF54043" w14:textId="77777777" w:rsidR="003D4A76" w:rsidRPr="00DB05A7" w:rsidRDefault="003D4A76" w:rsidP="007816A2">
            <w:pPr>
              <w:ind w:left="69"/>
              <w:jc w:val="center"/>
              <w:rPr>
                <w:rFonts w:ascii="Arial" w:hAnsi="Arial" w:cs="Arial"/>
              </w:rPr>
            </w:pPr>
          </w:p>
        </w:tc>
        <w:tc>
          <w:tcPr>
            <w:tcW w:w="1869" w:type="dxa"/>
            <w:vMerge/>
            <w:vAlign w:val="center"/>
          </w:tcPr>
          <w:p w14:paraId="0EAF392A" w14:textId="77777777" w:rsidR="003D4A76" w:rsidRPr="00DB05A7" w:rsidRDefault="003D4A76" w:rsidP="007816A2">
            <w:pPr>
              <w:rPr>
                <w:rFonts w:ascii="Arial" w:hAnsi="Arial" w:cs="Arial"/>
                <w:i/>
                <w:iCs/>
              </w:rPr>
            </w:pPr>
          </w:p>
        </w:tc>
        <w:tc>
          <w:tcPr>
            <w:tcW w:w="4497" w:type="dxa"/>
            <w:vMerge/>
            <w:vAlign w:val="center"/>
          </w:tcPr>
          <w:p w14:paraId="7330A62B" w14:textId="77777777" w:rsidR="003D4A76" w:rsidRPr="00DB05A7" w:rsidRDefault="003D4A76" w:rsidP="007816A2">
            <w:pPr>
              <w:rPr>
                <w:rFonts w:ascii="Arial" w:hAnsi="Arial" w:cs="Arial"/>
                <w:b/>
                <w:bCs/>
                <w:color w:val="0070C0"/>
              </w:rPr>
            </w:pPr>
          </w:p>
        </w:tc>
        <w:tc>
          <w:tcPr>
            <w:tcW w:w="5403" w:type="dxa"/>
            <w:vAlign w:val="center"/>
          </w:tcPr>
          <w:p w14:paraId="2C63BC61" w14:textId="08E2A69C" w:rsidR="003D4A76" w:rsidRPr="001B7B1D" w:rsidRDefault="003D4A76" w:rsidP="007816A2">
            <w:pPr>
              <w:rPr>
                <w:rFonts w:ascii="Arial" w:hAnsi="Arial" w:cs="Arial"/>
              </w:rPr>
            </w:pPr>
            <w:r w:rsidRPr="003D4A76">
              <w:rPr>
                <w:rFonts w:ascii="Arial" w:hAnsi="Arial" w:cs="Arial"/>
              </w:rPr>
              <w:t>The current text suggests patients can opt out of toxicology testing, which would be problematic for agency in determining if patient is at risk for withdrawal.</w:t>
            </w:r>
          </w:p>
        </w:tc>
        <w:tc>
          <w:tcPr>
            <w:tcW w:w="5861" w:type="dxa"/>
            <w:shd w:val="clear" w:color="auto" w:fill="E7E6E6" w:themeFill="background2"/>
            <w:vAlign w:val="center"/>
          </w:tcPr>
          <w:p w14:paraId="093E995A" w14:textId="34D54FFB" w:rsidR="003D4A76" w:rsidRPr="0041373D" w:rsidRDefault="5B4E041E" w:rsidP="007816A2">
            <w:pPr>
              <w:rPr>
                <w:rFonts w:ascii="Arial" w:hAnsi="Arial" w:cs="Arial"/>
                <w:color w:val="7030A0"/>
              </w:rPr>
            </w:pPr>
            <w:r w:rsidRPr="0041373D">
              <w:rPr>
                <w:rFonts w:ascii="Arial" w:hAnsi="Arial" w:cs="Arial"/>
                <w:color w:val="7030A0"/>
              </w:rPr>
              <w:t>Addressed above.</w:t>
            </w:r>
          </w:p>
        </w:tc>
      </w:tr>
      <w:tr w:rsidR="0041373D" w:rsidRPr="0041373D" w14:paraId="603E87FD" w14:textId="77777777" w:rsidTr="00281866">
        <w:trPr>
          <w:trHeight w:val="3278"/>
        </w:trPr>
        <w:tc>
          <w:tcPr>
            <w:tcW w:w="831" w:type="dxa"/>
            <w:vMerge/>
            <w:vAlign w:val="center"/>
          </w:tcPr>
          <w:p w14:paraId="4A4D29D2" w14:textId="77777777" w:rsidR="003D4A76" w:rsidRPr="00DB05A7" w:rsidRDefault="003D4A76" w:rsidP="007816A2">
            <w:pPr>
              <w:ind w:left="69"/>
              <w:jc w:val="center"/>
              <w:rPr>
                <w:rFonts w:ascii="Arial" w:hAnsi="Arial" w:cs="Arial"/>
              </w:rPr>
            </w:pPr>
          </w:p>
        </w:tc>
        <w:tc>
          <w:tcPr>
            <w:tcW w:w="1869" w:type="dxa"/>
            <w:vMerge/>
            <w:vAlign w:val="center"/>
          </w:tcPr>
          <w:p w14:paraId="0D4A3436" w14:textId="77777777" w:rsidR="003D4A76" w:rsidRPr="00DB05A7" w:rsidRDefault="003D4A76" w:rsidP="007816A2">
            <w:pPr>
              <w:rPr>
                <w:rFonts w:ascii="Arial" w:hAnsi="Arial" w:cs="Arial"/>
                <w:i/>
                <w:iCs/>
              </w:rPr>
            </w:pPr>
          </w:p>
        </w:tc>
        <w:tc>
          <w:tcPr>
            <w:tcW w:w="4497" w:type="dxa"/>
            <w:vMerge/>
            <w:vAlign w:val="center"/>
          </w:tcPr>
          <w:p w14:paraId="72C1A3B3" w14:textId="77777777" w:rsidR="003D4A76" w:rsidRPr="00DB05A7" w:rsidRDefault="003D4A76" w:rsidP="007816A2">
            <w:pPr>
              <w:rPr>
                <w:rFonts w:ascii="Arial" w:hAnsi="Arial" w:cs="Arial"/>
                <w:b/>
                <w:bCs/>
                <w:color w:val="0070C0"/>
              </w:rPr>
            </w:pPr>
          </w:p>
        </w:tc>
        <w:tc>
          <w:tcPr>
            <w:tcW w:w="5403" w:type="dxa"/>
            <w:vAlign w:val="center"/>
          </w:tcPr>
          <w:p w14:paraId="09B2110D" w14:textId="617FE8C3" w:rsidR="003D4A76" w:rsidRPr="003D4A76" w:rsidRDefault="003D4A76" w:rsidP="007816A2">
            <w:pPr>
              <w:rPr>
                <w:rFonts w:ascii="Arial" w:hAnsi="Arial" w:cs="Arial"/>
              </w:rPr>
            </w:pPr>
            <w:r w:rsidRPr="001B7B1D">
              <w:rPr>
                <w:rFonts w:ascii="Arial" w:hAnsi="Arial" w:cs="Arial"/>
              </w:rPr>
              <w:t>It’s important for agency to know if patient is using fentanyl because the overdose probability is very high</w:t>
            </w:r>
          </w:p>
        </w:tc>
        <w:tc>
          <w:tcPr>
            <w:tcW w:w="5861" w:type="dxa"/>
            <w:shd w:val="clear" w:color="auto" w:fill="E7E6E6" w:themeFill="background2"/>
            <w:vAlign w:val="center"/>
          </w:tcPr>
          <w:p w14:paraId="0F44DF7D" w14:textId="6F71BF4E" w:rsidR="003D4A76" w:rsidRPr="0041373D" w:rsidRDefault="46CA6296" w:rsidP="00281866">
            <w:pPr>
              <w:rPr>
                <w:rFonts w:ascii="Arial" w:hAnsi="Arial" w:cs="Arial"/>
                <w:color w:val="7030A0"/>
              </w:rPr>
            </w:pPr>
            <w:r w:rsidRPr="0041373D">
              <w:rPr>
                <w:rFonts w:ascii="Arial" w:hAnsi="Arial" w:cs="Arial"/>
                <w:color w:val="7030A0"/>
              </w:rPr>
              <w:t xml:space="preserve">The likelihood of overdose is high regardless of toxicology test findings and all SUD clients should be treated as if they are high-risk for overdose. SAPC agrees that agencies should inquire about </w:t>
            </w:r>
            <w:r w:rsidR="16FED1C2" w:rsidRPr="0041373D">
              <w:rPr>
                <w:rFonts w:ascii="Arial" w:hAnsi="Arial" w:cs="Arial"/>
                <w:color w:val="7030A0"/>
              </w:rPr>
              <w:t xml:space="preserve">drug and fentanyl use. SAPC is not prohibiting toxicology tests and is supportive of its agencies using toxicology tests as clinically helpful and </w:t>
            </w:r>
            <w:r w:rsidR="00273275" w:rsidRPr="0041373D">
              <w:rPr>
                <w:rFonts w:ascii="Arial" w:hAnsi="Arial" w:cs="Arial"/>
                <w:color w:val="7030A0"/>
              </w:rPr>
              <w:t>appropriate but</w:t>
            </w:r>
            <w:r w:rsidR="16FED1C2" w:rsidRPr="0041373D">
              <w:rPr>
                <w:rFonts w:ascii="Arial" w:hAnsi="Arial" w:cs="Arial"/>
                <w:color w:val="7030A0"/>
              </w:rPr>
              <w:t xml:space="preserve"> does not support mandating toxicology tests and either not admitting people or discharging people based on the results of that toxicology test. SAPC is moving its system of care to a lower barrier model of SUD care.</w:t>
            </w:r>
          </w:p>
        </w:tc>
      </w:tr>
      <w:tr w:rsidR="0041373D" w:rsidRPr="0041373D" w14:paraId="7E97C89C" w14:textId="77777777" w:rsidTr="005D541E">
        <w:trPr>
          <w:trHeight w:val="2432"/>
        </w:trPr>
        <w:tc>
          <w:tcPr>
            <w:tcW w:w="831" w:type="dxa"/>
            <w:vMerge/>
            <w:vAlign w:val="center"/>
          </w:tcPr>
          <w:p w14:paraId="112C7C52" w14:textId="77777777" w:rsidR="003D4A76" w:rsidRPr="00DB05A7" w:rsidRDefault="003D4A76" w:rsidP="007816A2">
            <w:pPr>
              <w:ind w:left="69"/>
              <w:jc w:val="center"/>
              <w:rPr>
                <w:rFonts w:ascii="Arial" w:hAnsi="Arial" w:cs="Arial"/>
              </w:rPr>
            </w:pPr>
          </w:p>
        </w:tc>
        <w:tc>
          <w:tcPr>
            <w:tcW w:w="1869" w:type="dxa"/>
            <w:vMerge/>
            <w:vAlign w:val="center"/>
          </w:tcPr>
          <w:p w14:paraId="72AA13E7" w14:textId="77777777" w:rsidR="003D4A76" w:rsidRPr="00DB05A7" w:rsidRDefault="003D4A76" w:rsidP="007816A2">
            <w:pPr>
              <w:rPr>
                <w:rFonts w:ascii="Arial" w:hAnsi="Arial" w:cs="Arial"/>
                <w:i/>
                <w:iCs/>
              </w:rPr>
            </w:pPr>
          </w:p>
        </w:tc>
        <w:tc>
          <w:tcPr>
            <w:tcW w:w="4497" w:type="dxa"/>
            <w:vMerge/>
            <w:vAlign w:val="center"/>
          </w:tcPr>
          <w:p w14:paraId="01CA7504" w14:textId="77777777" w:rsidR="003D4A76" w:rsidRPr="00DB05A7" w:rsidRDefault="003D4A76" w:rsidP="007816A2">
            <w:pPr>
              <w:rPr>
                <w:rFonts w:ascii="Arial" w:hAnsi="Arial" w:cs="Arial"/>
                <w:b/>
                <w:bCs/>
                <w:color w:val="0070C0"/>
              </w:rPr>
            </w:pPr>
          </w:p>
        </w:tc>
        <w:tc>
          <w:tcPr>
            <w:tcW w:w="5403" w:type="dxa"/>
            <w:vAlign w:val="center"/>
          </w:tcPr>
          <w:p w14:paraId="4EF7C3BD" w14:textId="1FF80DF9" w:rsidR="003D4A76" w:rsidRPr="001B7B1D" w:rsidRDefault="003D4A76" w:rsidP="007816A2">
            <w:pPr>
              <w:rPr>
                <w:rFonts w:ascii="Arial" w:hAnsi="Arial" w:cs="Arial"/>
              </w:rPr>
            </w:pPr>
            <w:r w:rsidRPr="001B7B1D">
              <w:rPr>
                <w:rFonts w:ascii="Arial" w:hAnsi="Arial" w:cs="Arial"/>
              </w:rPr>
              <w:t>Medical Directors may need this information to refer patients to MAT services.</w:t>
            </w:r>
          </w:p>
        </w:tc>
        <w:tc>
          <w:tcPr>
            <w:tcW w:w="5861" w:type="dxa"/>
            <w:shd w:val="clear" w:color="auto" w:fill="E7E6E6" w:themeFill="background2"/>
            <w:vAlign w:val="center"/>
          </w:tcPr>
          <w:p w14:paraId="121D06BA" w14:textId="37848B72" w:rsidR="003D4A76" w:rsidRPr="0041373D" w:rsidRDefault="4F3C1122" w:rsidP="005D541E">
            <w:pPr>
              <w:rPr>
                <w:rFonts w:ascii="Arial" w:hAnsi="Arial" w:cs="Arial"/>
                <w:color w:val="7030A0"/>
              </w:rPr>
            </w:pPr>
            <w:r w:rsidRPr="0041373D">
              <w:rPr>
                <w:rFonts w:ascii="Arial" w:hAnsi="Arial" w:cs="Arial"/>
                <w:color w:val="7030A0"/>
              </w:rPr>
              <w:t xml:space="preserve">SAPC is not prohibiting </w:t>
            </w:r>
            <w:r w:rsidR="00816E3B">
              <w:rPr>
                <w:rFonts w:ascii="Arial" w:hAnsi="Arial" w:cs="Arial"/>
                <w:color w:val="7030A0"/>
              </w:rPr>
              <w:t xml:space="preserve">offering </w:t>
            </w:r>
            <w:proofErr w:type="gramStart"/>
            <w:r w:rsidR="00816E3B">
              <w:rPr>
                <w:rFonts w:ascii="Arial" w:hAnsi="Arial" w:cs="Arial"/>
                <w:color w:val="7030A0"/>
              </w:rPr>
              <w:t>patients</w:t>
            </w:r>
            <w:proofErr w:type="gramEnd"/>
            <w:r w:rsidR="00816E3B">
              <w:rPr>
                <w:rFonts w:ascii="Arial" w:hAnsi="Arial" w:cs="Arial"/>
                <w:color w:val="7030A0"/>
              </w:rPr>
              <w:t xml:space="preserve"> </w:t>
            </w:r>
            <w:r w:rsidRPr="0041373D">
              <w:rPr>
                <w:rFonts w:ascii="Arial" w:hAnsi="Arial" w:cs="Arial"/>
                <w:color w:val="7030A0"/>
              </w:rPr>
              <w:t xml:space="preserve">toxicology </w:t>
            </w:r>
            <w:r w:rsidR="00816E3B">
              <w:rPr>
                <w:rFonts w:ascii="Arial" w:hAnsi="Arial" w:cs="Arial"/>
                <w:color w:val="7030A0"/>
              </w:rPr>
              <w:t>testing</w:t>
            </w:r>
            <w:r w:rsidR="00816E3B" w:rsidRPr="0041373D">
              <w:rPr>
                <w:rFonts w:ascii="Arial" w:hAnsi="Arial" w:cs="Arial"/>
                <w:color w:val="7030A0"/>
              </w:rPr>
              <w:t xml:space="preserve"> </w:t>
            </w:r>
            <w:r w:rsidRPr="0041373D">
              <w:rPr>
                <w:rFonts w:ascii="Arial" w:hAnsi="Arial" w:cs="Arial"/>
                <w:color w:val="7030A0"/>
              </w:rPr>
              <w:t xml:space="preserve">and is supportive of </w:t>
            </w:r>
            <w:r w:rsidR="00816E3B">
              <w:rPr>
                <w:rFonts w:ascii="Arial" w:hAnsi="Arial" w:cs="Arial"/>
                <w:color w:val="7030A0"/>
              </w:rPr>
              <w:t>our</w:t>
            </w:r>
            <w:r w:rsidR="00816E3B" w:rsidRPr="0041373D">
              <w:rPr>
                <w:rFonts w:ascii="Arial" w:hAnsi="Arial" w:cs="Arial"/>
                <w:color w:val="7030A0"/>
              </w:rPr>
              <w:t xml:space="preserve"> </w:t>
            </w:r>
            <w:r w:rsidRPr="0041373D">
              <w:rPr>
                <w:rFonts w:ascii="Arial" w:hAnsi="Arial" w:cs="Arial"/>
                <w:color w:val="7030A0"/>
              </w:rPr>
              <w:t xml:space="preserve">agencies using toxicology </w:t>
            </w:r>
            <w:r w:rsidR="00816E3B">
              <w:rPr>
                <w:rFonts w:ascii="Arial" w:hAnsi="Arial" w:cs="Arial"/>
                <w:color w:val="7030A0"/>
              </w:rPr>
              <w:t xml:space="preserve">testing </w:t>
            </w:r>
            <w:r w:rsidRPr="0041373D">
              <w:rPr>
                <w:rFonts w:ascii="Arial" w:hAnsi="Arial" w:cs="Arial"/>
                <w:color w:val="7030A0"/>
              </w:rPr>
              <w:t xml:space="preserve">as clinically helpful and </w:t>
            </w:r>
            <w:r w:rsidR="00273275" w:rsidRPr="0041373D">
              <w:rPr>
                <w:rFonts w:ascii="Arial" w:hAnsi="Arial" w:cs="Arial"/>
                <w:color w:val="7030A0"/>
              </w:rPr>
              <w:t>appropriate but</w:t>
            </w:r>
            <w:r w:rsidRPr="0041373D">
              <w:rPr>
                <w:rFonts w:ascii="Arial" w:hAnsi="Arial" w:cs="Arial"/>
                <w:color w:val="7030A0"/>
              </w:rPr>
              <w:t xml:space="preserve"> does not support </w:t>
            </w:r>
            <w:r w:rsidR="00816E3B">
              <w:rPr>
                <w:rFonts w:ascii="Arial" w:hAnsi="Arial" w:cs="Arial"/>
                <w:color w:val="7030A0"/>
              </w:rPr>
              <w:t xml:space="preserve">restricting </w:t>
            </w:r>
            <w:r w:rsidRPr="0041373D">
              <w:rPr>
                <w:rFonts w:ascii="Arial" w:hAnsi="Arial" w:cs="Arial"/>
                <w:color w:val="7030A0"/>
              </w:rPr>
              <w:t>admi</w:t>
            </w:r>
            <w:r w:rsidR="00816E3B">
              <w:rPr>
                <w:rFonts w:ascii="Arial" w:hAnsi="Arial" w:cs="Arial"/>
                <w:color w:val="7030A0"/>
              </w:rPr>
              <w:t xml:space="preserve">ssion or requiring discharge based solely on the </w:t>
            </w:r>
            <w:r w:rsidR="004E7499">
              <w:rPr>
                <w:rFonts w:ascii="Arial" w:hAnsi="Arial" w:cs="Arial"/>
                <w:color w:val="7030A0"/>
              </w:rPr>
              <w:t xml:space="preserve">toxicology testing results without a full consideration of the patient’s clinical circumstances. </w:t>
            </w:r>
            <w:r w:rsidRPr="0041373D">
              <w:rPr>
                <w:rFonts w:ascii="Arial" w:hAnsi="Arial" w:cs="Arial"/>
                <w:color w:val="7030A0"/>
              </w:rPr>
              <w:t>SAPC is moving its system of care to a lower barrier model of SUD care.</w:t>
            </w:r>
          </w:p>
        </w:tc>
      </w:tr>
      <w:tr w:rsidR="003D4A76" w:rsidRPr="00DB05A7" w14:paraId="5197876A" w14:textId="77777777" w:rsidTr="005D541E">
        <w:trPr>
          <w:trHeight w:val="1523"/>
        </w:trPr>
        <w:tc>
          <w:tcPr>
            <w:tcW w:w="831" w:type="dxa"/>
            <w:vMerge/>
            <w:vAlign w:val="center"/>
          </w:tcPr>
          <w:p w14:paraId="17DEE02E" w14:textId="77777777" w:rsidR="003D4A76" w:rsidRPr="00DB05A7" w:rsidRDefault="003D4A76" w:rsidP="007816A2">
            <w:pPr>
              <w:ind w:left="69"/>
              <w:jc w:val="center"/>
              <w:rPr>
                <w:rFonts w:ascii="Arial" w:hAnsi="Arial" w:cs="Arial"/>
              </w:rPr>
            </w:pPr>
          </w:p>
        </w:tc>
        <w:tc>
          <w:tcPr>
            <w:tcW w:w="1869" w:type="dxa"/>
            <w:vMerge/>
            <w:vAlign w:val="center"/>
          </w:tcPr>
          <w:p w14:paraId="5C4AFF9A" w14:textId="77777777" w:rsidR="003D4A76" w:rsidRPr="00DB05A7" w:rsidRDefault="003D4A76" w:rsidP="007816A2">
            <w:pPr>
              <w:rPr>
                <w:rFonts w:ascii="Arial" w:hAnsi="Arial" w:cs="Arial"/>
                <w:i/>
                <w:iCs/>
              </w:rPr>
            </w:pPr>
          </w:p>
        </w:tc>
        <w:tc>
          <w:tcPr>
            <w:tcW w:w="4497" w:type="dxa"/>
            <w:vMerge/>
            <w:vAlign w:val="center"/>
          </w:tcPr>
          <w:p w14:paraId="443CAE4E" w14:textId="77777777" w:rsidR="003D4A76" w:rsidRPr="00DB05A7" w:rsidRDefault="003D4A76" w:rsidP="007816A2">
            <w:pPr>
              <w:rPr>
                <w:rFonts w:ascii="Arial" w:hAnsi="Arial" w:cs="Arial"/>
                <w:b/>
                <w:bCs/>
                <w:color w:val="0070C0"/>
              </w:rPr>
            </w:pPr>
          </w:p>
        </w:tc>
        <w:tc>
          <w:tcPr>
            <w:tcW w:w="5403" w:type="dxa"/>
            <w:vAlign w:val="center"/>
          </w:tcPr>
          <w:p w14:paraId="66F7CDBC" w14:textId="3D32D92E" w:rsidR="003D4A76" w:rsidRPr="003D4A76" w:rsidRDefault="003D4A76" w:rsidP="007816A2">
            <w:pPr>
              <w:rPr>
                <w:rFonts w:ascii="Arial" w:hAnsi="Arial" w:cs="Arial"/>
                <w:b/>
                <w:bCs/>
              </w:rPr>
            </w:pPr>
            <w:r w:rsidRPr="001B7B1D">
              <w:rPr>
                <w:rFonts w:ascii="Arial" w:hAnsi="Arial" w:cs="Arial"/>
              </w:rPr>
              <w:t>Flexible language would allow for agencies that operate in multiple counties to follow different protocols set by various counties</w:t>
            </w:r>
          </w:p>
        </w:tc>
        <w:tc>
          <w:tcPr>
            <w:tcW w:w="5861" w:type="dxa"/>
            <w:shd w:val="clear" w:color="auto" w:fill="E7E6E6" w:themeFill="background2"/>
            <w:vAlign w:val="center"/>
          </w:tcPr>
          <w:p w14:paraId="4B9C989C" w14:textId="4A647015" w:rsidR="003D4A76" w:rsidRPr="0090313E" w:rsidRDefault="26318551" w:rsidP="007816A2">
            <w:pPr>
              <w:rPr>
                <w:rFonts w:ascii="Arial" w:hAnsi="Arial" w:cs="Arial"/>
                <w:color w:val="7030A0"/>
              </w:rPr>
            </w:pPr>
            <w:r w:rsidRPr="3508475A">
              <w:rPr>
                <w:rFonts w:ascii="Arial" w:hAnsi="Arial" w:cs="Arial"/>
                <w:color w:val="7030A0"/>
              </w:rPr>
              <w:t>SAPC sets policies for Los Angeles County’s specialty SUD system and while SAPC supports some level of flexibility, it will not support practices that deviate from a low barrier system, as this is best practice to better engage more people with SUDs.</w:t>
            </w:r>
          </w:p>
        </w:tc>
      </w:tr>
      <w:tr w:rsidR="003D4A76" w:rsidRPr="00DB05A7" w14:paraId="78D266F1" w14:textId="77777777" w:rsidTr="00A47B04">
        <w:trPr>
          <w:trHeight w:val="1604"/>
        </w:trPr>
        <w:tc>
          <w:tcPr>
            <w:tcW w:w="831" w:type="dxa"/>
            <w:vMerge/>
            <w:vAlign w:val="center"/>
          </w:tcPr>
          <w:p w14:paraId="3EF20266" w14:textId="77777777" w:rsidR="003D4A76" w:rsidRPr="00DB05A7" w:rsidRDefault="003D4A76" w:rsidP="007816A2">
            <w:pPr>
              <w:ind w:left="69"/>
              <w:jc w:val="center"/>
              <w:rPr>
                <w:rFonts w:ascii="Arial" w:hAnsi="Arial" w:cs="Arial"/>
              </w:rPr>
            </w:pPr>
          </w:p>
        </w:tc>
        <w:tc>
          <w:tcPr>
            <w:tcW w:w="1869" w:type="dxa"/>
            <w:vMerge/>
            <w:vAlign w:val="center"/>
          </w:tcPr>
          <w:p w14:paraId="6552D94C" w14:textId="77777777" w:rsidR="003D4A76" w:rsidRPr="00DB05A7" w:rsidRDefault="003D4A76" w:rsidP="007816A2">
            <w:pPr>
              <w:rPr>
                <w:rFonts w:ascii="Arial" w:hAnsi="Arial" w:cs="Arial"/>
                <w:i/>
                <w:iCs/>
              </w:rPr>
            </w:pPr>
          </w:p>
        </w:tc>
        <w:tc>
          <w:tcPr>
            <w:tcW w:w="4497" w:type="dxa"/>
            <w:vMerge/>
            <w:vAlign w:val="center"/>
          </w:tcPr>
          <w:p w14:paraId="36671512" w14:textId="77777777" w:rsidR="003D4A76" w:rsidRPr="00DB05A7" w:rsidRDefault="003D4A76" w:rsidP="007816A2">
            <w:pPr>
              <w:rPr>
                <w:rFonts w:ascii="Arial" w:hAnsi="Arial" w:cs="Arial"/>
                <w:b/>
                <w:bCs/>
                <w:color w:val="0070C0"/>
              </w:rPr>
            </w:pPr>
          </w:p>
        </w:tc>
        <w:tc>
          <w:tcPr>
            <w:tcW w:w="5403" w:type="dxa"/>
            <w:vAlign w:val="center"/>
          </w:tcPr>
          <w:p w14:paraId="2BA032ED" w14:textId="487C4AA0" w:rsidR="003D4A76" w:rsidRPr="001B7B1D" w:rsidRDefault="003D4A76" w:rsidP="007816A2">
            <w:pPr>
              <w:rPr>
                <w:rFonts w:ascii="Arial" w:hAnsi="Arial" w:cs="Arial"/>
              </w:rPr>
            </w:pPr>
            <w:r>
              <w:rPr>
                <w:rFonts w:ascii="Arial" w:hAnsi="Arial" w:cs="Arial"/>
                <w:sz w:val="20"/>
                <w:szCs w:val="20"/>
              </w:rPr>
              <w:t xml:space="preserve">Toxic, positive and negative terms send wrong message in SUD </w:t>
            </w:r>
            <w:proofErr w:type="spellStart"/>
            <w:r>
              <w:rPr>
                <w:rFonts w:ascii="Arial" w:hAnsi="Arial" w:cs="Arial"/>
                <w:sz w:val="20"/>
                <w:szCs w:val="20"/>
              </w:rPr>
              <w:t>tx</w:t>
            </w:r>
            <w:proofErr w:type="spellEnd"/>
            <w:r>
              <w:rPr>
                <w:rFonts w:ascii="Arial" w:hAnsi="Arial" w:cs="Arial"/>
                <w:sz w:val="20"/>
                <w:szCs w:val="20"/>
              </w:rPr>
              <w:t xml:space="preserve"> as substances detected is neither deemed positive or negative – just means they are not abstinent of substance use</w:t>
            </w:r>
          </w:p>
        </w:tc>
        <w:tc>
          <w:tcPr>
            <w:tcW w:w="5861" w:type="dxa"/>
            <w:shd w:val="clear" w:color="auto" w:fill="E7E6E6" w:themeFill="background2"/>
            <w:vAlign w:val="center"/>
          </w:tcPr>
          <w:p w14:paraId="3BCE6A57" w14:textId="22EED434" w:rsidR="003D4A76" w:rsidRPr="00A47B04" w:rsidRDefault="002D3AF9" w:rsidP="007816A2">
            <w:pPr>
              <w:rPr>
                <w:rFonts w:ascii="Arial" w:hAnsi="Arial" w:cs="Arial"/>
                <w:color w:val="7030A0"/>
              </w:rPr>
            </w:pPr>
            <w:r>
              <w:rPr>
                <w:rFonts w:ascii="Arial" w:hAnsi="Arial" w:cs="Arial"/>
                <w:color w:val="7030A0"/>
              </w:rPr>
              <w:t>The terms t</w:t>
            </w:r>
            <w:r w:rsidR="00CD2178">
              <w:rPr>
                <w:rFonts w:ascii="Arial" w:hAnsi="Arial" w:cs="Arial"/>
                <w:color w:val="7030A0"/>
              </w:rPr>
              <w:t xml:space="preserve">oxicology, positive, and negative </w:t>
            </w:r>
            <w:r w:rsidR="000B6E51">
              <w:rPr>
                <w:rFonts w:ascii="Arial" w:hAnsi="Arial" w:cs="Arial"/>
                <w:color w:val="7030A0"/>
              </w:rPr>
              <w:t xml:space="preserve">with respect to testing </w:t>
            </w:r>
            <w:r>
              <w:rPr>
                <w:rFonts w:ascii="Arial" w:hAnsi="Arial" w:cs="Arial"/>
                <w:color w:val="7030A0"/>
              </w:rPr>
              <w:t xml:space="preserve">are </w:t>
            </w:r>
            <w:r w:rsidR="003A3F09">
              <w:rPr>
                <w:rFonts w:ascii="Arial" w:hAnsi="Arial" w:cs="Arial"/>
                <w:color w:val="7030A0"/>
              </w:rPr>
              <w:t>medically neutral terms</w:t>
            </w:r>
            <w:r w:rsidR="00C260DB">
              <w:rPr>
                <w:rFonts w:ascii="Arial" w:hAnsi="Arial" w:cs="Arial"/>
                <w:color w:val="7030A0"/>
              </w:rPr>
              <w:t xml:space="preserve">, and provider agencies </w:t>
            </w:r>
            <w:proofErr w:type="gramStart"/>
            <w:r w:rsidR="00C260DB">
              <w:rPr>
                <w:rFonts w:ascii="Arial" w:hAnsi="Arial" w:cs="Arial"/>
                <w:color w:val="7030A0"/>
              </w:rPr>
              <w:t>are able to</w:t>
            </w:r>
            <w:proofErr w:type="gramEnd"/>
            <w:r w:rsidR="00C260DB">
              <w:rPr>
                <w:rFonts w:ascii="Arial" w:hAnsi="Arial" w:cs="Arial"/>
                <w:color w:val="7030A0"/>
              </w:rPr>
              <w:t xml:space="preserve"> use </w:t>
            </w:r>
            <w:r w:rsidR="00F214DC">
              <w:rPr>
                <w:rFonts w:ascii="Arial" w:hAnsi="Arial" w:cs="Arial"/>
                <w:color w:val="7030A0"/>
              </w:rPr>
              <w:t xml:space="preserve">other </w:t>
            </w:r>
            <w:r w:rsidR="00C260DB">
              <w:rPr>
                <w:rFonts w:ascii="Arial" w:hAnsi="Arial" w:cs="Arial"/>
                <w:color w:val="7030A0"/>
              </w:rPr>
              <w:t xml:space="preserve">terms that best </w:t>
            </w:r>
            <w:r w:rsidR="00921708">
              <w:rPr>
                <w:rFonts w:ascii="Arial" w:hAnsi="Arial" w:cs="Arial"/>
                <w:color w:val="7030A0"/>
              </w:rPr>
              <w:t>align with</w:t>
            </w:r>
            <w:r w:rsidR="003D3447">
              <w:rPr>
                <w:rFonts w:ascii="Arial" w:hAnsi="Arial" w:cs="Arial"/>
                <w:color w:val="7030A0"/>
              </w:rPr>
              <w:t xml:space="preserve"> staff and </w:t>
            </w:r>
            <w:r w:rsidR="004641F9">
              <w:rPr>
                <w:rFonts w:ascii="Arial" w:hAnsi="Arial" w:cs="Arial"/>
                <w:color w:val="7030A0"/>
              </w:rPr>
              <w:t>patient</w:t>
            </w:r>
            <w:r w:rsidR="00921708">
              <w:rPr>
                <w:rFonts w:ascii="Arial" w:hAnsi="Arial" w:cs="Arial"/>
                <w:color w:val="7030A0"/>
              </w:rPr>
              <w:t xml:space="preserve"> participation in </w:t>
            </w:r>
            <w:r w:rsidR="00910EC1">
              <w:rPr>
                <w:rFonts w:ascii="Arial" w:hAnsi="Arial" w:cs="Arial"/>
                <w:color w:val="7030A0"/>
              </w:rPr>
              <w:t>clinically appropriate</w:t>
            </w:r>
            <w:r w:rsidR="00F214DC">
              <w:rPr>
                <w:rFonts w:ascii="Arial" w:hAnsi="Arial" w:cs="Arial"/>
                <w:color w:val="7030A0"/>
              </w:rPr>
              <w:t xml:space="preserve"> </w:t>
            </w:r>
            <w:r w:rsidR="00C445C5">
              <w:rPr>
                <w:rFonts w:ascii="Arial" w:hAnsi="Arial" w:cs="Arial"/>
                <w:color w:val="7030A0"/>
              </w:rPr>
              <w:t xml:space="preserve">testing as a component of (not requirement for) </w:t>
            </w:r>
            <w:r w:rsidR="00F214DC">
              <w:rPr>
                <w:rFonts w:ascii="Arial" w:hAnsi="Arial" w:cs="Arial"/>
                <w:color w:val="7030A0"/>
              </w:rPr>
              <w:t xml:space="preserve">treatment. </w:t>
            </w:r>
          </w:p>
        </w:tc>
      </w:tr>
      <w:tr w:rsidR="007816A2" w:rsidRPr="00DB05A7" w14:paraId="06065FAD" w14:textId="77777777" w:rsidTr="007816A2">
        <w:trPr>
          <w:trHeight w:val="2519"/>
        </w:trPr>
        <w:tc>
          <w:tcPr>
            <w:tcW w:w="831" w:type="dxa"/>
            <w:vAlign w:val="center"/>
          </w:tcPr>
          <w:p w14:paraId="4CC471F0" w14:textId="439AB898" w:rsidR="007B7BF6" w:rsidRPr="00DB05A7" w:rsidRDefault="007B7BF6" w:rsidP="007816A2">
            <w:pPr>
              <w:ind w:left="69"/>
              <w:jc w:val="center"/>
              <w:rPr>
                <w:rFonts w:ascii="Arial" w:hAnsi="Arial" w:cs="Arial"/>
              </w:rPr>
            </w:pPr>
            <w:r w:rsidRPr="00DB05A7">
              <w:rPr>
                <w:rFonts w:ascii="Arial" w:hAnsi="Arial" w:cs="Arial"/>
              </w:rPr>
              <w:lastRenderedPageBreak/>
              <w:t>2</w:t>
            </w:r>
          </w:p>
        </w:tc>
        <w:tc>
          <w:tcPr>
            <w:tcW w:w="1869" w:type="dxa"/>
            <w:vAlign w:val="center"/>
          </w:tcPr>
          <w:p w14:paraId="2753E42C" w14:textId="08BDC78D" w:rsidR="007B7BF6" w:rsidRPr="00DB05A7" w:rsidRDefault="007B7BF6" w:rsidP="007816A2">
            <w:pPr>
              <w:rPr>
                <w:rFonts w:ascii="Arial" w:hAnsi="Arial" w:cs="Arial"/>
                <w:i/>
                <w:iCs/>
              </w:rPr>
            </w:pPr>
            <w:r w:rsidRPr="00DB05A7">
              <w:rPr>
                <w:rFonts w:ascii="Arial" w:hAnsi="Arial" w:cs="Arial"/>
                <w:i/>
                <w:iCs/>
              </w:rPr>
              <w:t>Definitions</w:t>
            </w:r>
          </w:p>
        </w:tc>
        <w:tc>
          <w:tcPr>
            <w:tcW w:w="4497" w:type="dxa"/>
            <w:vAlign w:val="center"/>
          </w:tcPr>
          <w:p w14:paraId="5865399C" w14:textId="22BF6DB1" w:rsidR="007B7BF6" w:rsidRPr="00DB05A7" w:rsidRDefault="007B7BF6" w:rsidP="007816A2">
            <w:pPr>
              <w:rPr>
                <w:rFonts w:ascii="Arial" w:hAnsi="Arial" w:cs="Arial"/>
                <w:b/>
                <w:bCs/>
                <w:color w:val="0070C0"/>
              </w:rPr>
            </w:pPr>
            <w:r w:rsidRPr="00DB05A7">
              <w:rPr>
                <w:rFonts w:ascii="Arial" w:hAnsi="Arial" w:cs="Arial"/>
                <w:b/>
                <w:bCs/>
                <w:color w:val="0070C0"/>
              </w:rPr>
              <w:t>Warm Handoff</w:t>
            </w:r>
            <w:r w:rsidRPr="00DB05A7">
              <w:rPr>
                <w:rFonts w:ascii="Arial" w:hAnsi="Arial" w:cs="Arial"/>
                <w:color w:val="0070C0"/>
              </w:rPr>
              <w:t>: A transfer of a patient from one SUD facility to another that occurs with agreement or at the request of the individual and where the involved agency makes every effort to facilitate a successful connection, preferably by ensuring that the individual arrives at the new facility (e.g., transportation provided).</w:t>
            </w:r>
          </w:p>
        </w:tc>
        <w:tc>
          <w:tcPr>
            <w:tcW w:w="5403" w:type="dxa"/>
            <w:vAlign w:val="center"/>
          </w:tcPr>
          <w:p w14:paraId="3E5FF668" w14:textId="2A1821F6" w:rsidR="007B7BF6" w:rsidRPr="00DB05A7" w:rsidRDefault="007B7BF6" w:rsidP="007816A2">
            <w:pPr>
              <w:rPr>
                <w:rFonts w:ascii="Arial" w:hAnsi="Arial" w:cs="Arial"/>
              </w:rPr>
            </w:pPr>
            <w:r w:rsidRPr="00DB05A7">
              <w:rPr>
                <w:rFonts w:ascii="Arial" w:hAnsi="Arial" w:cs="Arial"/>
                <w:b/>
                <w:bCs/>
              </w:rPr>
              <w:t>Warm Handoff</w:t>
            </w:r>
            <w:r w:rsidRPr="00DB05A7">
              <w:rPr>
                <w:rFonts w:ascii="Arial" w:hAnsi="Arial" w:cs="Arial"/>
              </w:rPr>
              <w:t xml:space="preserve">: A transfer of a patient from one SUD facility to another that occurs with agreement or at the request of the </w:t>
            </w:r>
            <w:r w:rsidRPr="00DB05A7">
              <w:rPr>
                <w:rFonts w:ascii="Arial" w:hAnsi="Arial" w:cs="Arial"/>
                <w:strike/>
              </w:rPr>
              <w:t>individual</w:t>
            </w:r>
            <w:r w:rsidRPr="00DB05A7">
              <w:rPr>
                <w:rFonts w:ascii="Arial" w:hAnsi="Arial" w:cs="Arial"/>
              </w:rPr>
              <w:t xml:space="preserve"> </w:t>
            </w:r>
            <w:r w:rsidRPr="00DB05A7">
              <w:rPr>
                <w:rFonts w:ascii="Arial" w:hAnsi="Arial" w:cs="Arial"/>
                <w:b/>
                <w:bCs/>
                <w:highlight w:val="yellow"/>
              </w:rPr>
              <w:t>patient</w:t>
            </w:r>
            <w:r w:rsidRPr="00DB05A7">
              <w:rPr>
                <w:rFonts w:ascii="Arial" w:hAnsi="Arial" w:cs="Arial"/>
              </w:rPr>
              <w:t xml:space="preserve"> and where the involved </w:t>
            </w:r>
            <w:r w:rsidRPr="00DB05A7">
              <w:rPr>
                <w:rFonts w:ascii="Arial" w:hAnsi="Arial" w:cs="Arial"/>
                <w:strike/>
              </w:rPr>
              <w:t>agency make</w:t>
            </w:r>
            <w:r w:rsidRPr="00DB05A7">
              <w:rPr>
                <w:rFonts w:ascii="Arial" w:hAnsi="Arial" w:cs="Arial"/>
              </w:rPr>
              <w:t xml:space="preserve"> </w:t>
            </w:r>
            <w:r w:rsidRPr="00DB05A7">
              <w:rPr>
                <w:rFonts w:ascii="Arial" w:hAnsi="Arial" w:cs="Arial"/>
                <w:b/>
                <w:bCs/>
                <w:highlight w:val="yellow"/>
              </w:rPr>
              <w:t>agencies make</w:t>
            </w:r>
            <w:r w:rsidRPr="00DB05A7">
              <w:rPr>
                <w:rFonts w:ascii="Arial" w:hAnsi="Arial" w:cs="Arial"/>
              </w:rPr>
              <w:t xml:space="preserve"> every effort </w:t>
            </w:r>
            <w:r w:rsidRPr="00DB05A7">
              <w:rPr>
                <w:rFonts w:ascii="Arial" w:hAnsi="Arial" w:cs="Arial"/>
                <w:b/>
                <w:bCs/>
                <w:highlight w:val="yellow"/>
              </w:rPr>
              <w:t>to leverage resources</w:t>
            </w:r>
            <w:r w:rsidRPr="00DB05A7">
              <w:rPr>
                <w:rFonts w:ascii="Arial" w:hAnsi="Arial" w:cs="Arial"/>
              </w:rPr>
              <w:t xml:space="preserve"> to facilitate a successful </w:t>
            </w:r>
            <w:r w:rsidRPr="00DB05A7">
              <w:rPr>
                <w:rFonts w:ascii="Arial" w:hAnsi="Arial" w:cs="Arial"/>
                <w:strike/>
              </w:rPr>
              <w:t>connection, preferably by ensuring that the individual arrives at the new facility</w:t>
            </w:r>
            <w:r w:rsidRPr="00DB05A7">
              <w:rPr>
                <w:rFonts w:ascii="Arial" w:hAnsi="Arial" w:cs="Arial"/>
              </w:rPr>
              <w:t xml:space="preserve"> </w:t>
            </w:r>
            <w:r w:rsidRPr="00DB05A7">
              <w:rPr>
                <w:rFonts w:ascii="Arial" w:hAnsi="Arial" w:cs="Arial"/>
                <w:b/>
                <w:bCs/>
                <w:highlight w:val="yellow"/>
              </w:rPr>
              <w:t>transfer</w:t>
            </w:r>
            <w:r w:rsidRPr="00DB05A7">
              <w:rPr>
                <w:rFonts w:ascii="Arial" w:hAnsi="Arial" w:cs="Arial"/>
              </w:rPr>
              <w:t xml:space="preserve"> (</w:t>
            </w:r>
            <w:proofErr w:type="gramStart"/>
            <w:r w:rsidRPr="00DB05A7">
              <w:rPr>
                <w:rFonts w:ascii="Arial" w:hAnsi="Arial" w:cs="Arial"/>
              </w:rPr>
              <w:t>e.g.</w:t>
            </w:r>
            <w:proofErr w:type="gramEnd"/>
            <w:r w:rsidRPr="00DB05A7">
              <w:rPr>
                <w:rFonts w:ascii="Arial" w:hAnsi="Arial" w:cs="Arial"/>
              </w:rPr>
              <w:t xml:space="preserve"> </w:t>
            </w:r>
            <w:r w:rsidRPr="00DB05A7">
              <w:rPr>
                <w:rFonts w:ascii="Arial" w:hAnsi="Arial" w:cs="Arial"/>
                <w:strike/>
              </w:rPr>
              <w:t>transportation provided</w:t>
            </w:r>
            <w:r w:rsidRPr="00DB05A7">
              <w:rPr>
                <w:rFonts w:ascii="Arial" w:hAnsi="Arial" w:cs="Arial"/>
              </w:rPr>
              <w:t xml:space="preserve">, </w:t>
            </w:r>
            <w:r w:rsidRPr="00DB05A7">
              <w:rPr>
                <w:rFonts w:ascii="Arial" w:hAnsi="Arial" w:cs="Arial"/>
                <w:b/>
                <w:bCs/>
                <w:highlight w:val="yellow"/>
              </w:rPr>
              <w:t>coordinating patient needed transportation</w:t>
            </w:r>
            <w:r w:rsidRPr="00DB05A7">
              <w:rPr>
                <w:rFonts w:ascii="Arial" w:hAnsi="Arial" w:cs="Arial"/>
              </w:rPr>
              <w:t>).</w:t>
            </w:r>
            <w:r w:rsidRPr="00DB05A7">
              <w:rPr>
                <w:rFonts w:ascii="Arial" w:hAnsi="Arial" w:cs="Arial"/>
              </w:rPr>
              <w:tab/>
            </w:r>
          </w:p>
        </w:tc>
        <w:tc>
          <w:tcPr>
            <w:tcW w:w="5861" w:type="dxa"/>
            <w:shd w:val="clear" w:color="auto" w:fill="E7E6E6" w:themeFill="background2"/>
            <w:vAlign w:val="center"/>
          </w:tcPr>
          <w:p w14:paraId="027CBA5E" w14:textId="19042F52" w:rsidR="00584491" w:rsidRPr="002C3D26" w:rsidRDefault="007A466E" w:rsidP="007816A2">
            <w:pPr>
              <w:rPr>
                <w:rFonts w:ascii="Arial" w:hAnsi="Arial" w:cs="Arial"/>
                <w:color w:val="7030A0"/>
              </w:rPr>
            </w:pPr>
            <w:r>
              <w:rPr>
                <w:rFonts w:ascii="Arial" w:hAnsi="Arial" w:cs="Arial"/>
                <w:color w:val="7030A0"/>
              </w:rPr>
              <w:t>These edits were not accepted</w:t>
            </w:r>
            <w:r w:rsidR="00584491" w:rsidRPr="002C3D26">
              <w:rPr>
                <w:rFonts w:ascii="Arial" w:hAnsi="Arial" w:cs="Arial"/>
                <w:color w:val="7030A0"/>
              </w:rPr>
              <w:t xml:space="preserve">. This definition had been previously reviewed under the admission policy. Furthermore, </w:t>
            </w:r>
            <w:r w:rsidR="00093562" w:rsidRPr="002C3D26">
              <w:rPr>
                <w:rFonts w:ascii="Arial" w:hAnsi="Arial" w:cs="Arial"/>
                <w:color w:val="7030A0"/>
              </w:rPr>
              <w:t>the edits</w:t>
            </w:r>
            <w:r w:rsidR="00E03DAC" w:rsidRPr="002C3D26">
              <w:rPr>
                <w:rFonts w:ascii="Arial" w:hAnsi="Arial" w:cs="Arial"/>
                <w:color w:val="7030A0"/>
              </w:rPr>
              <w:t xml:space="preserve"> </w:t>
            </w:r>
            <w:r w:rsidR="00F55503" w:rsidRPr="002C3D26">
              <w:rPr>
                <w:rFonts w:ascii="Arial" w:hAnsi="Arial" w:cs="Arial"/>
                <w:color w:val="7030A0"/>
              </w:rPr>
              <w:t xml:space="preserve">remove elements of a “warm handoff” (e.g., </w:t>
            </w:r>
            <w:r w:rsidR="00A470FC" w:rsidRPr="002C3D26">
              <w:rPr>
                <w:rFonts w:ascii="Arial" w:hAnsi="Arial" w:cs="Arial"/>
                <w:color w:val="7030A0"/>
              </w:rPr>
              <w:t>connection</w:t>
            </w:r>
            <w:r w:rsidR="00072EBD" w:rsidRPr="002C3D26">
              <w:rPr>
                <w:rFonts w:ascii="Arial" w:hAnsi="Arial" w:cs="Arial"/>
                <w:color w:val="7030A0"/>
              </w:rPr>
              <w:t>)</w:t>
            </w:r>
            <w:r w:rsidR="005D12CB" w:rsidRPr="002C3D26">
              <w:rPr>
                <w:rFonts w:ascii="Arial" w:hAnsi="Arial" w:cs="Arial"/>
                <w:color w:val="7030A0"/>
              </w:rPr>
              <w:t xml:space="preserve"> and focus on </w:t>
            </w:r>
            <w:r w:rsidR="00431115" w:rsidRPr="002C3D26">
              <w:rPr>
                <w:rFonts w:ascii="Arial" w:hAnsi="Arial" w:cs="Arial"/>
                <w:color w:val="7030A0"/>
              </w:rPr>
              <w:t xml:space="preserve">current practice of referrals. </w:t>
            </w:r>
            <w:r w:rsidR="00DE4381">
              <w:rPr>
                <w:rFonts w:ascii="Arial" w:hAnsi="Arial" w:cs="Arial"/>
                <w:color w:val="7030A0"/>
              </w:rPr>
              <w:t xml:space="preserve">Modified definition in admission and discharge to also say </w:t>
            </w:r>
            <w:r w:rsidR="00323311">
              <w:rPr>
                <w:rFonts w:ascii="Arial" w:hAnsi="Arial" w:cs="Arial"/>
                <w:color w:val="7030A0"/>
              </w:rPr>
              <w:t>“</w:t>
            </w:r>
            <w:r w:rsidR="00323311" w:rsidRPr="00323311">
              <w:rPr>
                <w:rFonts w:ascii="Arial" w:hAnsi="Arial" w:cs="Arial"/>
                <w:color w:val="7030A0"/>
              </w:rPr>
              <w:t xml:space="preserve">(e.g., intake </w:t>
            </w:r>
            <w:proofErr w:type="gramStart"/>
            <w:r w:rsidR="00323311" w:rsidRPr="00323311">
              <w:rPr>
                <w:rFonts w:ascii="Arial" w:hAnsi="Arial" w:cs="Arial"/>
                <w:color w:val="7030A0"/>
              </w:rPr>
              <w:t>scheduled</w:t>
            </w:r>
            <w:proofErr w:type="gramEnd"/>
            <w:r w:rsidR="00323311" w:rsidRPr="00323311">
              <w:rPr>
                <w:rFonts w:ascii="Arial" w:hAnsi="Arial" w:cs="Arial"/>
                <w:color w:val="7030A0"/>
              </w:rPr>
              <w:t xml:space="preserve"> and transportation arranged)</w:t>
            </w:r>
            <w:r w:rsidR="00323311">
              <w:rPr>
                <w:rFonts w:ascii="Arial" w:hAnsi="Arial" w:cs="Arial"/>
                <w:color w:val="7030A0"/>
              </w:rPr>
              <w:t>”.</w:t>
            </w:r>
          </w:p>
        </w:tc>
      </w:tr>
      <w:tr w:rsidR="002B07EC" w:rsidRPr="00DB05A7" w14:paraId="1C7274D6" w14:textId="77777777" w:rsidTr="007816A2">
        <w:trPr>
          <w:trHeight w:val="2159"/>
        </w:trPr>
        <w:tc>
          <w:tcPr>
            <w:tcW w:w="831" w:type="dxa"/>
            <w:vMerge w:val="restart"/>
            <w:vAlign w:val="center"/>
          </w:tcPr>
          <w:p w14:paraId="2EC494F4" w14:textId="7103F1E4" w:rsidR="002B07EC" w:rsidRPr="00DB05A7" w:rsidRDefault="00EC6427" w:rsidP="007816A2">
            <w:pPr>
              <w:ind w:left="69"/>
              <w:jc w:val="center"/>
              <w:rPr>
                <w:rFonts w:ascii="Arial" w:hAnsi="Arial" w:cs="Arial"/>
              </w:rPr>
            </w:pPr>
            <w:r>
              <w:rPr>
                <w:rFonts w:ascii="Arial" w:hAnsi="Arial" w:cs="Arial"/>
              </w:rPr>
              <w:t>3</w:t>
            </w:r>
          </w:p>
        </w:tc>
        <w:tc>
          <w:tcPr>
            <w:tcW w:w="1869" w:type="dxa"/>
            <w:vMerge w:val="restart"/>
            <w:vAlign w:val="center"/>
          </w:tcPr>
          <w:p w14:paraId="46932BC8" w14:textId="1B484B63" w:rsidR="002B07EC" w:rsidRPr="00DB05A7" w:rsidRDefault="002B07EC" w:rsidP="007816A2">
            <w:pPr>
              <w:rPr>
                <w:rFonts w:ascii="Arial" w:hAnsi="Arial" w:cs="Arial"/>
                <w:i/>
                <w:iCs/>
              </w:rPr>
            </w:pPr>
            <w:r w:rsidRPr="00DB05A7">
              <w:rPr>
                <w:rFonts w:ascii="Arial" w:hAnsi="Arial" w:cs="Arial"/>
                <w:i/>
                <w:iCs/>
              </w:rPr>
              <w:t>Procedures. III. Discharge Determination and Transitions. A</w:t>
            </w:r>
          </w:p>
        </w:tc>
        <w:tc>
          <w:tcPr>
            <w:tcW w:w="4497" w:type="dxa"/>
            <w:vMerge w:val="restart"/>
            <w:vAlign w:val="center"/>
          </w:tcPr>
          <w:p w14:paraId="17037B04" w14:textId="31EA6E88" w:rsidR="002B07EC" w:rsidRPr="00DB05A7" w:rsidRDefault="002B07EC" w:rsidP="007816A2">
            <w:pPr>
              <w:rPr>
                <w:rFonts w:ascii="Arial" w:hAnsi="Arial" w:cs="Arial"/>
                <w:color w:val="0070C0"/>
              </w:rPr>
            </w:pPr>
            <w:r w:rsidRPr="00DB05A7">
              <w:rPr>
                <w:rFonts w:ascii="Arial" w:hAnsi="Arial" w:cs="Arial"/>
                <w:color w:val="0070C0"/>
              </w:rPr>
              <w:t>Before discharge or transition to a higher or lower level of care is determined, steps must be taken with the patient and leadership to confirm that the patient cannot best be served through continuation of services and adjustment of treatment and recovery goals, including when a patient changes their abstinence goals</w:t>
            </w:r>
          </w:p>
        </w:tc>
        <w:tc>
          <w:tcPr>
            <w:tcW w:w="5403" w:type="dxa"/>
            <w:vAlign w:val="center"/>
          </w:tcPr>
          <w:p w14:paraId="7B92F662" w14:textId="44643911" w:rsidR="002B07EC" w:rsidRPr="00DB05A7" w:rsidRDefault="002B07EC" w:rsidP="007816A2">
            <w:pPr>
              <w:rPr>
                <w:rFonts w:ascii="Arial" w:hAnsi="Arial" w:cs="Arial"/>
              </w:rPr>
            </w:pPr>
            <w:r w:rsidRPr="00DB05A7">
              <w:rPr>
                <w:rFonts w:ascii="Arial" w:hAnsi="Arial" w:cs="Arial"/>
              </w:rPr>
              <w:t xml:space="preserve">Before discharge or transition to a higher or lower level of care is determined, steps must be taken with the patient and </w:t>
            </w:r>
            <w:r w:rsidRPr="00DB05A7">
              <w:rPr>
                <w:rFonts w:ascii="Arial" w:hAnsi="Arial" w:cs="Arial"/>
                <w:strike/>
              </w:rPr>
              <w:t>leadership</w:t>
            </w:r>
            <w:r w:rsidRPr="00DB05A7">
              <w:rPr>
                <w:rFonts w:ascii="Arial" w:hAnsi="Arial" w:cs="Arial"/>
              </w:rPr>
              <w:t xml:space="preserve"> </w:t>
            </w:r>
            <w:r w:rsidRPr="00DB05A7">
              <w:rPr>
                <w:rFonts w:ascii="Arial" w:hAnsi="Arial" w:cs="Arial"/>
                <w:b/>
                <w:bCs/>
                <w:highlight w:val="yellow"/>
              </w:rPr>
              <w:t>treatment team</w:t>
            </w:r>
            <w:r w:rsidRPr="00DB05A7">
              <w:rPr>
                <w:rFonts w:ascii="Arial" w:hAnsi="Arial" w:cs="Arial"/>
              </w:rPr>
              <w:t xml:space="preserve"> to confirm that the patient cannot best be served through continuation of services and adjustment of treatment and recovery goals, including when a patient changes their abstinence goals</w:t>
            </w:r>
          </w:p>
        </w:tc>
        <w:tc>
          <w:tcPr>
            <w:tcW w:w="5861" w:type="dxa"/>
            <w:shd w:val="clear" w:color="auto" w:fill="E7E6E6" w:themeFill="background2"/>
            <w:vAlign w:val="center"/>
          </w:tcPr>
          <w:p w14:paraId="5002F4B4" w14:textId="2C419345" w:rsidR="002B07EC" w:rsidRPr="002C3D26" w:rsidRDefault="000220D0" w:rsidP="007816A2">
            <w:pPr>
              <w:rPr>
                <w:rFonts w:ascii="Arial" w:hAnsi="Arial" w:cs="Arial"/>
                <w:color w:val="7030A0"/>
              </w:rPr>
            </w:pPr>
            <w:r w:rsidRPr="002C3D26">
              <w:rPr>
                <w:rFonts w:ascii="Arial" w:hAnsi="Arial" w:cs="Arial"/>
                <w:color w:val="7030A0"/>
              </w:rPr>
              <w:t>E</w:t>
            </w:r>
            <w:r w:rsidR="001A0C4B" w:rsidRPr="002C3D26">
              <w:rPr>
                <w:rFonts w:ascii="Arial" w:hAnsi="Arial" w:cs="Arial"/>
                <w:color w:val="7030A0"/>
              </w:rPr>
              <w:t>dit made</w:t>
            </w:r>
            <w:r w:rsidR="002B07EC" w:rsidRPr="002C3D26">
              <w:rPr>
                <w:rFonts w:ascii="Arial" w:hAnsi="Arial" w:cs="Arial"/>
                <w:color w:val="7030A0"/>
              </w:rPr>
              <w:t>.</w:t>
            </w:r>
          </w:p>
        </w:tc>
      </w:tr>
      <w:tr w:rsidR="002B07EC" w:rsidRPr="00DB05A7" w14:paraId="71C4B265" w14:textId="77777777" w:rsidTr="007816A2">
        <w:trPr>
          <w:trHeight w:val="2159"/>
        </w:trPr>
        <w:tc>
          <w:tcPr>
            <w:tcW w:w="831" w:type="dxa"/>
            <w:vMerge/>
            <w:vAlign w:val="center"/>
          </w:tcPr>
          <w:p w14:paraId="340A2EAD" w14:textId="77777777" w:rsidR="002B07EC" w:rsidRPr="00DB05A7" w:rsidRDefault="002B07EC" w:rsidP="007816A2">
            <w:pPr>
              <w:ind w:left="69"/>
              <w:jc w:val="center"/>
              <w:rPr>
                <w:rFonts w:ascii="Arial" w:hAnsi="Arial" w:cs="Arial"/>
              </w:rPr>
            </w:pPr>
          </w:p>
        </w:tc>
        <w:tc>
          <w:tcPr>
            <w:tcW w:w="1869" w:type="dxa"/>
            <w:vMerge/>
            <w:vAlign w:val="center"/>
          </w:tcPr>
          <w:p w14:paraId="05AD853B" w14:textId="77777777" w:rsidR="002B07EC" w:rsidRPr="00DB05A7" w:rsidRDefault="002B07EC" w:rsidP="007816A2">
            <w:pPr>
              <w:rPr>
                <w:rFonts w:ascii="Arial" w:hAnsi="Arial" w:cs="Arial"/>
                <w:i/>
                <w:iCs/>
              </w:rPr>
            </w:pPr>
          </w:p>
        </w:tc>
        <w:tc>
          <w:tcPr>
            <w:tcW w:w="4497" w:type="dxa"/>
            <w:vMerge/>
            <w:vAlign w:val="center"/>
          </w:tcPr>
          <w:p w14:paraId="6CDCEEDD" w14:textId="77777777" w:rsidR="002B07EC" w:rsidRPr="00DB05A7" w:rsidRDefault="002B07EC" w:rsidP="007816A2">
            <w:pPr>
              <w:rPr>
                <w:rFonts w:ascii="Arial" w:hAnsi="Arial" w:cs="Arial"/>
                <w:color w:val="0070C0"/>
              </w:rPr>
            </w:pPr>
          </w:p>
        </w:tc>
        <w:tc>
          <w:tcPr>
            <w:tcW w:w="5403" w:type="dxa"/>
            <w:vAlign w:val="center"/>
          </w:tcPr>
          <w:p w14:paraId="72C48A98" w14:textId="6E9F1AD0" w:rsidR="002B07EC" w:rsidRPr="00DB05A7" w:rsidRDefault="002B07EC" w:rsidP="007816A2">
            <w:pPr>
              <w:rPr>
                <w:rFonts w:ascii="Arial" w:hAnsi="Arial" w:cs="Arial"/>
              </w:rPr>
            </w:pPr>
            <w:r w:rsidRPr="00F00ACC">
              <w:rPr>
                <w:rFonts w:ascii="Arial" w:hAnsi="Arial" w:cs="Arial"/>
              </w:rPr>
              <w:t>Comment: Unless I’m misunderstanding the breadth of the new AWOL policy included in Provider Manual 8.0, because of its specific timeline and implications for clients with challenges maintaining consistent engagement with their services, it might be critical to incorporate it into this section on Discharge Determination and Transitions.</w:t>
            </w:r>
          </w:p>
        </w:tc>
        <w:tc>
          <w:tcPr>
            <w:tcW w:w="5861" w:type="dxa"/>
            <w:shd w:val="clear" w:color="auto" w:fill="E7E6E6" w:themeFill="background2"/>
            <w:vAlign w:val="center"/>
          </w:tcPr>
          <w:p w14:paraId="7905E23A" w14:textId="7F97F0E3" w:rsidR="002B07EC" w:rsidRPr="001B5CC8" w:rsidRDefault="001046A9" w:rsidP="007816A2">
            <w:pPr>
              <w:rPr>
                <w:rFonts w:ascii="Arial" w:hAnsi="Arial" w:cs="Arial"/>
                <w:color w:val="7030A0"/>
              </w:rPr>
            </w:pPr>
            <w:r>
              <w:rPr>
                <w:rFonts w:ascii="Arial" w:hAnsi="Arial" w:cs="Arial"/>
                <w:color w:val="7030A0"/>
              </w:rPr>
              <w:t xml:space="preserve">Agencies </w:t>
            </w:r>
            <w:proofErr w:type="gramStart"/>
            <w:r>
              <w:rPr>
                <w:rFonts w:ascii="Arial" w:hAnsi="Arial" w:cs="Arial"/>
                <w:color w:val="7030A0"/>
              </w:rPr>
              <w:t>are able to</w:t>
            </w:r>
            <w:proofErr w:type="gramEnd"/>
            <w:r>
              <w:rPr>
                <w:rFonts w:ascii="Arial" w:hAnsi="Arial" w:cs="Arial"/>
                <w:color w:val="7030A0"/>
              </w:rPr>
              <w:t xml:space="preserve"> add this to their discharge policy if desired. </w:t>
            </w:r>
            <w:r w:rsidR="005E45F3">
              <w:rPr>
                <w:rFonts w:ascii="Arial" w:hAnsi="Arial" w:cs="Arial"/>
                <w:color w:val="7030A0"/>
              </w:rPr>
              <w:t xml:space="preserve">SAPC clarified that the </w:t>
            </w:r>
            <w:proofErr w:type="spellStart"/>
            <w:r w:rsidR="005E45F3">
              <w:rPr>
                <w:rFonts w:ascii="Arial" w:hAnsi="Arial" w:cs="Arial"/>
                <w:color w:val="7030A0"/>
              </w:rPr>
              <w:t>CalOMS</w:t>
            </w:r>
            <w:proofErr w:type="spellEnd"/>
            <w:r w:rsidR="005E45F3">
              <w:rPr>
                <w:rFonts w:ascii="Arial" w:hAnsi="Arial" w:cs="Arial"/>
                <w:color w:val="7030A0"/>
              </w:rPr>
              <w:t xml:space="preserve"> AWOL policy is related to the last missed appointment. Clinicians/counselors </w:t>
            </w:r>
            <w:proofErr w:type="gramStart"/>
            <w:r w:rsidR="005E45F3">
              <w:rPr>
                <w:rFonts w:ascii="Arial" w:hAnsi="Arial" w:cs="Arial"/>
                <w:color w:val="7030A0"/>
              </w:rPr>
              <w:t>are able to</w:t>
            </w:r>
            <w:proofErr w:type="gramEnd"/>
            <w:r w:rsidR="005E45F3">
              <w:rPr>
                <w:rFonts w:ascii="Arial" w:hAnsi="Arial" w:cs="Arial"/>
                <w:color w:val="7030A0"/>
              </w:rPr>
              <w:t xml:space="preserve"> offer additional appointments as appropriate. </w:t>
            </w:r>
          </w:p>
        </w:tc>
      </w:tr>
      <w:tr w:rsidR="002B07EC" w:rsidRPr="00DB05A7" w14:paraId="76770AAE" w14:textId="77777777" w:rsidTr="003948C3">
        <w:trPr>
          <w:trHeight w:val="2078"/>
        </w:trPr>
        <w:tc>
          <w:tcPr>
            <w:tcW w:w="831" w:type="dxa"/>
            <w:vMerge/>
            <w:vAlign w:val="center"/>
          </w:tcPr>
          <w:p w14:paraId="5BE00BAF" w14:textId="77777777" w:rsidR="002B07EC" w:rsidRPr="00DB05A7" w:rsidRDefault="002B07EC" w:rsidP="007816A2">
            <w:pPr>
              <w:ind w:left="69"/>
              <w:jc w:val="center"/>
              <w:rPr>
                <w:rFonts w:ascii="Arial" w:hAnsi="Arial" w:cs="Arial"/>
              </w:rPr>
            </w:pPr>
          </w:p>
        </w:tc>
        <w:tc>
          <w:tcPr>
            <w:tcW w:w="1869" w:type="dxa"/>
            <w:vMerge/>
            <w:vAlign w:val="center"/>
          </w:tcPr>
          <w:p w14:paraId="3D2D2A77" w14:textId="77777777" w:rsidR="002B07EC" w:rsidRPr="00DB05A7" w:rsidRDefault="002B07EC" w:rsidP="007816A2">
            <w:pPr>
              <w:rPr>
                <w:rFonts w:ascii="Arial" w:hAnsi="Arial" w:cs="Arial"/>
                <w:i/>
                <w:iCs/>
              </w:rPr>
            </w:pPr>
          </w:p>
        </w:tc>
        <w:tc>
          <w:tcPr>
            <w:tcW w:w="4497" w:type="dxa"/>
            <w:vMerge/>
            <w:vAlign w:val="center"/>
          </w:tcPr>
          <w:p w14:paraId="08C2F4AB" w14:textId="77777777" w:rsidR="002B07EC" w:rsidRPr="00DB05A7" w:rsidRDefault="002B07EC" w:rsidP="007816A2">
            <w:pPr>
              <w:rPr>
                <w:rFonts w:ascii="Arial" w:hAnsi="Arial" w:cs="Arial"/>
                <w:color w:val="0070C0"/>
              </w:rPr>
            </w:pPr>
          </w:p>
        </w:tc>
        <w:tc>
          <w:tcPr>
            <w:tcW w:w="5403" w:type="dxa"/>
            <w:vAlign w:val="center"/>
          </w:tcPr>
          <w:p w14:paraId="527955FE" w14:textId="77777777" w:rsidR="002B07EC" w:rsidRDefault="002B07EC" w:rsidP="007816A2">
            <w:pPr>
              <w:rPr>
                <w:rFonts w:ascii="Arial" w:hAnsi="Arial" w:cs="Arial"/>
              </w:rPr>
            </w:pPr>
            <w:r w:rsidRPr="006B32C2">
              <w:rPr>
                <w:rFonts w:ascii="Arial" w:hAnsi="Arial" w:cs="Arial"/>
              </w:rPr>
              <w:t>Staff engage with patients throughout the treatment process to encourage connections to SUD services when transitioning / discharging from their current level of care.</w:t>
            </w:r>
          </w:p>
          <w:p w14:paraId="4E78A4DE" w14:textId="77777777" w:rsidR="002B07EC" w:rsidRPr="006878B8" w:rsidRDefault="002B07EC" w:rsidP="007816A2">
            <w:pPr>
              <w:rPr>
                <w:rFonts w:ascii="Arial" w:hAnsi="Arial" w:cs="Arial"/>
                <w:sz w:val="10"/>
                <w:szCs w:val="10"/>
              </w:rPr>
            </w:pPr>
          </w:p>
          <w:p w14:paraId="3A310B01" w14:textId="0559AAEC" w:rsidR="002B07EC" w:rsidRPr="00F00ACC" w:rsidRDefault="002B07EC" w:rsidP="007816A2">
            <w:pPr>
              <w:rPr>
                <w:rFonts w:ascii="Arial" w:hAnsi="Arial" w:cs="Arial"/>
              </w:rPr>
            </w:pPr>
            <w:r w:rsidRPr="000E34DE">
              <w:rPr>
                <w:rFonts w:ascii="Arial" w:hAnsi="Arial" w:cs="Arial"/>
              </w:rPr>
              <w:t>Our policies include language about providing clients with a NOABD. This should be included in this policy.</w:t>
            </w:r>
          </w:p>
        </w:tc>
        <w:tc>
          <w:tcPr>
            <w:tcW w:w="5861" w:type="dxa"/>
            <w:shd w:val="clear" w:color="auto" w:fill="E7E6E6" w:themeFill="background2"/>
            <w:vAlign w:val="center"/>
          </w:tcPr>
          <w:p w14:paraId="067FF8C3" w14:textId="237F56B7" w:rsidR="002B07EC" w:rsidRPr="00105D6C" w:rsidRDefault="00105D6C" w:rsidP="003948C3">
            <w:pPr>
              <w:rPr>
                <w:rFonts w:ascii="Arial" w:hAnsi="Arial" w:cs="Arial"/>
                <w:color w:val="7030A0"/>
              </w:rPr>
            </w:pPr>
            <w:r>
              <w:rPr>
                <w:rFonts w:ascii="Arial" w:hAnsi="Arial" w:cs="Arial"/>
                <w:color w:val="7030A0"/>
              </w:rPr>
              <w:t xml:space="preserve">The NOABD </w:t>
            </w:r>
            <w:r w:rsidR="00914FA1">
              <w:rPr>
                <w:rFonts w:ascii="Arial" w:hAnsi="Arial" w:cs="Arial"/>
                <w:color w:val="7030A0"/>
              </w:rPr>
              <w:t xml:space="preserve">actions should occur </w:t>
            </w:r>
            <w:r w:rsidR="00FB1818">
              <w:rPr>
                <w:rFonts w:ascii="Arial" w:hAnsi="Arial" w:cs="Arial"/>
                <w:color w:val="7030A0"/>
              </w:rPr>
              <w:t xml:space="preserve">at the time an adverse determination regarding admission has been made and </w:t>
            </w:r>
            <w:r w:rsidR="00914FA1">
              <w:rPr>
                <w:rFonts w:ascii="Arial" w:hAnsi="Arial" w:cs="Arial"/>
                <w:color w:val="7030A0"/>
              </w:rPr>
              <w:t>patient</w:t>
            </w:r>
            <w:r w:rsidR="00FB1818">
              <w:rPr>
                <w:rFonts w:ascii="Arial" w:hAnsi="Arial" w:cs="Arial"/>
                <w:color w:val="7030A0"/>
              </w:rPr>
              <w:t>s</w:t>
            </w:r>
            <w:r w:rsidR="00914FA1">
              <w:rPr>
                <w:rFonts w:ascii="Arial" w:hAnsi="Arial" w:cs="Arial"/>
                <w:color w:val="7030A0"/>
              </w:rPr>
              <w:t xml:space="preserve"> </w:t>
            </w:r>
            <w:r w:rsidR="00FB1818">
              <w:rPr>
                <w:rFonts w:ascii="Arial" w:hAnsi="Arial" w:cs="Arial"/>
                <w:color w:val="7030A0"/>
              </w:rPr>
              <w:t xml:space="preserve">who </w:t>
            </w:r>
            <w:r w:rsidR="008B3FFC">
              <w:rPr>
                <w:rFonts w:ascii="Arial" w:hAnsi="Arial" w:cs="Arial"/>
                <w:color w:val="7030A0"/>
              </w:rPr>
              <w:t>reach out to initiate treatment or who have already been admitted to treatment</w:t>
            </w:r>
            <w:r w:rsidR="002F4A93">
              <w:rPr>
                <w:rFonts w:ascii="Arial" w:hAnsi="Arial" w:cs="Arial"/>
                <w:color w:val="7030A0"/>
              </w:rPr>
              <w:t xml:space="preserve"> should be </w:t>
            </w:r>
            <w:r w:rsidR="00DE4A90">
              <w:rPr>
                <w:rFonts w:ascii="Arial" w:hAnsi="Arial" w:cs="Arial"/>
                <w:color w:val="7030A0"/>
              </w:rPr>
              <w:t xml:space="preserve">provided a warm handoff to another level of care if it is determine that the current level of care is inappropriate. </w:t>
            </w:r>
          </w:p>
        </w:tc>
      </w:tr>
      <w:tr w:rsidR="002B07EC" w:rsidRPr="00DB05A7" w14:paraId="36151C7F" w14:textId="77777777" w:rsidTr="30F8A8FD">
        <w:trPr>
          <w:trHeight w:val="1502"/>
        </w:trPr>
        <w:tc>
          <w:tcPr>
            <w:tcW w:w="831" w:type="dxa"/>
            <w:vMerge/>
            <w:vAlign w:val="center"/>
          </w:tcPr>
          <w:p w14:paraId="2852C37B" w14:textId="48BE6ABC" w:rsidR="002B07EC" w:rsidRPr="00DB05A7" w:rsidRDefault="002B07EC" w:rsidP="007816A2">
            <w:pPr>
              <w:ind w:left="69"/>
              <w:jc w:val="center"/>
              <w:rPr>
                <w:rFonts w:ascii="Arial" w:hAnsi="Arial" w:cs="Arial"/>
              </w:rPr>
            </w:pPr>
          </w:p>
        </w:tc>
        <w:tc>
          <w:tcPr>
            <w:tcW w:w="1869" w:type="dxa"/>
            <w:vMerge/>
            <w:vAlign w:val="center"/>
          </w:tcPr>
          <w:p w14:paraId="0A2207D9" w14:textId="3C13521D" w:rsidR="002B07EC" w:rsidRPr="00DB05A7" w:rsidRDefault="002B07EC" w:rsidP="007816A2">
            <w:pPr>
              <w:rPr>
                <w:rFonts w:ascii="Arial" w:hAnsi="Arial" w:cs="Arial"/>
                <w:i/>
                <w:iCs/>
              </w:rPr>
            </w:pPr>
          </w:p>
        </w:tc>
        <w:tc>
          <w:tcPr>
            <w:tcW w:w="4497" w:type="dxa"/>
            <w:vMerge/>
            <w:vAlign w:val="center"/>
          </w:tcPr>
          <w:p w14:paraId="5693D238" w14:textId="075130A4" w:rsidR="002B07EC" w:rsidRPr="00DB05A7" w:rsidRDefault="002B07EC" w:rsidP="007816A2">
            <w:pPr>
              <w:rPr>
                <w:rFonts w:ascii="Arial" w:hAnsi="Arial" w:cs="Arial"/>
                <w:color w:val="0070C0"/>
              </w:rPr>
            </w:pPr>
          </w:p>
        </w:tc>
        <w:tc>
          <w:tcPr>
            <w:tcW w:w="5403" w:type="dxa"/>
            <w:shd w:val="clear" w:color="auto" w:fill="FFFFFF" w:themeFill="background1"/>
            <w:vAlign w:val="center"/>
          </w:tcPr>
          <w:p w14:paraId="7FF485A2" w14:textId="751E5D0B" w:rsidR="002B07EC" w:rsidRPr="00DB05A7" w:rsidRDefault="002B07EC" w:rsidP="007816A2">
            <w:pPr>
              <w:rPr>
                <w:rFonts w:ascii="Arial" w:hAnsi="Arial" w:cs="Arial"/>
              </w:rPr>
            </w:pPr>
            <w:r w:rsidRPr="00B10448">
              <w:rPr>
                <w:rFonts w:ascii="Arial" w:hAnsi="Arial" w:cs="Arial"/>
              </w:rPr>
              <w:t>In this context, lower level of care reference is not warranted</w:t>
            </w:r>
          </w:p>
        </w:tc>
        <w:tc>
          <w:tcPr>
            <w:tcW w:w="5861" w:type="dxa"/>
            <w:shd w:val="clear" w:color="auto" w:fill="E7E6E6" w:themeFill="background2"/>
            <w:vAlign w:val="center"/>
          </w:tcPr>
          <w:p w14:paraId="62B78924" w14:textId="05E1BB0F" w:rsidR="002B07EC" w:rsidRPr="00B112BC" w:rsidRDefault="008036AF" w:rsidP="007816A2">
            <w:pPr>
              <w:rPr>
                <w:rFonts w:ascii="Arial" w:hAnsi="Arial" w:cs="Arial"/>
                <w:i/>
                <w:iCs/>
                <w:color w:val="7030A0"/>
              </w:rPr>
            </w:pPr>
            <w:r>
              <w:rPr>
                <w:rFonts w:ascii="Arial" w:hAnsi="Arial" w:cs="Arial"/>
                <w:color w:val="7030A0"/>
              </w:rPr>
              <w:t>These edits were not accepted</w:t>
            </w:r>
            <w:r w:rsidR="00A948CE" w:rsidRPr="00B112BC">
              <w:rPr>
                <w:rFonts w:ascii="Arial" w:hAnsi="Arial" w:cs="Arial"/>
                <w:color w:val="7030A0"/>
              </w:rPr>
              <w:t>. This policy was meant to include those that are discharging because they completed the level of care and/or otherwise would benefit from a lower level of care as well as those that need to be stepped up for need.</w:t>
            </w:r>
          </w:p>
        </w:tc>
      </w:tr>
      <w:tr w:rsidR="00C819A1" w:rsidRPr="00DB05A7" w14:paraId="6398134F" w14:textId="77777777" w:rsidTr="00EC6427">
        <w:trPr>
          <w:trHeight w:val="3289"/>
        </w:trPr>
        <w:tc>
          <w:tcPr>
            <w:tcW w:w="831" w:type="dxa"/>
            <w:vAlign w:val="center"/>
          </w:tcPr>
          <w:p w14:paraId="0BF6945B" w14:textId="6F2535EA" w:rsidR="00C819A1" w:rsidRPr="00DB05A7" w:rsidRDefault="00C819A1" w:rsidP="007816A2">
            <w:pPr>
              <w:ind w:left="69"/>
              <w:jc w:val="center"/>
              <w:rPr>
                <w:rFonts w:ascii="Arial" w:hAnsi="Arial" w:cs="Arial"/>
              </w:rPr>
            </w:pPr>
            <w:r w:rsidRPr="00DB05A7">
              <w:rPr>
                <w:rFonts w:ascii="Arial" w:hAnsi="Arial" w:cs="Arial"/>
              </w:rPr>
              <w:t>3</w:t>
            </w:r>
          </w:p>
        </w:tc>
        <w:tc>
          <w:tcPr>
            <w:tcW w:w="1869" w:type="dxa"/>
            <w:vAlign w:val="center"/>
          </w:tcPr>
          <w:p w14:paraId="0DA6173E" w14:textId="3582D596" w:rsidR="00C819A1" w:rsidRPr="00DB05A7" w:rsidRDefault="00C819A1" w:rsidP="007816A2">
            <w:pPr>
              <w:rPr>
                <w:rFonts w:ascii="Arial" w:hAnsi="Arial" w:cs="Arial"/>
                <w:i/>
                <w:iCs/>
              </w:rPr>
            </w:pPr>
            <w:r w:rsidRPr="00DB05A7">
              <w:rPr>
                <w:rFonts w:ascii="Arial" w:hAnsi="Arial" w:cs="Arial"/>
                <w:i/>
                <w:iCs/>
              </w:rPr>
              <w:t>Procedures. III. Discharge Determination and Transitions. A.1.</w:t>
            </w:r>
          </w:p>
        </w:tc>
        <w:tc>
          <w:tcPr>
            <w:tcW w:w="4497" w:type="dxa"/>
            <w:vAlign w:val="center"/>
          </w:tcPr>
          <w:p w14:paraId="37D65122" w14:textId="2A190D51" w:rsidR="00C819A1" w:rsidRPr="00DB05A7" w:rsidRDefault="00C819A1" w:rsidP="007816A2">
            <w:pPr>
              <w:rPr>
                <w:rFonts w:ascii="Arial" w:hAnsi="Arial" w:cs="Arial"/>
                <w:color w:val="0070C0"/>
              </w:rPr>
            </w:pPr>
            <w:r w:rsidRPr="0071114D">
              <w:rPr>
                <w:rFonts w:ascii="Arial" w:hAnsi="Arial" w:cs="Arial"/>
              </w:rPr>
              <w:t>Patient is offered crisis intervention and individual counseling to support their physical and emotional wellbeing, including exploring their current treatment and recovery goals</w:t>
            </w:r>
            <w:r w:rsidRPr="00DB05A7">
              <w:rPr>
                <w:rFonts w:ascii="Arial" w:hAnsi="Arial" w:cs="Arial"/>
                <w:color w:val="0070C0"/>
              </w:rPr>
              <w:t>.</w:t>
            </w:r>
          </w:p>
        </w:tc>
        <w:tc>
          <w:tcPr>
            <w:tcW w:w="5403" w:type="dxa"/>
            <w:vAlign w:val="center"/>
          </w:tcPr>
          <w:p w14:paraId="72070969" w14:textId="77777777" w:rsidR="00C819A1" w:rsidRDefault="00C819A1" w:rsidP="007816A2">
            <w:pPr>
              <w:rPr>
                <w:rFonts w:ascii="Arial" w:hAnsi="Arial" w:cs="Arial"/>
              </w:rPr>
            </w:pPr>
            <w:r w:rsidRPr="00DB05A7">
              <w:rPr>
                <w:rFonts w:ascii="Arial" w:hAnsi="Arial" w:cs="Arial"/>
                <w:b/>
                <w:bCs/>
                <w:highlight w:val="yellow"/>
              </w:rPr>
              <w:t>When appropriate,</w:t>
            </w:r>
            <w:r w:rsidRPr="00DB05A7">
              <w:rPr>
                <w:rFonts w:ascii="Arial" w:hAnsi="Arial" w:cs="Arial"/>
              </w:rPr>
              <w:t xml:space="preserve"> patient is offered crisis intervention and individual counseling to support their physical and emotional wellbeing, including exploring their current treatment and recovery goals.</w:t>
            </w:r>
          </w:p>
          <w:p w14:paraId="2547CB91" w14:textId="77777777" w:rsidR="00C819A1" w:rsidRDefault="00C819A1" w:rsidP="007816A2">
            <w:pPr>
              <w:rPr>
                <w:rFonts w:ascii="Arial" w:hAnsi="Arial" w:cs="Arial"/>
              </w:rPr>
            </w:pPr>
          </w:p>
          <w:p w14:paraId="24DE7B17" w14:textId="4895119B" w:rsidR="00C819A1" w:rsidRPr="00C819A1" w:rsidRDefault="00C819A1" w:rsidP="007816A2">
            <w:pPr>
              <w:rPr>
                <w:rFonts w:ascii="Arial" w:hAnsi="Arial" w:cs="Arial"/>
              </w:rPr>
            </w:pPr>
            <w:r w:rsidRPr="00C819A1">
              <w:rPr>
                <w:rFonts w:ascii="Arial" w:hAnsi="Arial" w:cs="Arial"/>
              </w:rPr>
              <w:t>•</w:t>
            </w:r>
            <w:r>
              <w:rPr>
                <w:rFonts w:ascii="Arial" w:hAnsi="Arial" w:cs="Arial"/>
              </w:rPr>
              <w:t xml:space="preserve"> </w:t>
            </w:r>
            <w:r w:rsidRPr="00C819A1">
              <w:rPr>
                <w:rFonts w:ascii="Arial" w:hAnsi="Arial" w:cs="Arial"/>
              </w:rPr>
              <w:t xml:space="preserve">This assumes that transition/discharge is associated with a “problem” versus patient now needing a lower level of care, </w:t>
            </w:r>
            <w:proofErr w:type="gramStart"/>
            <w:r w:rsidRPr="00C819A1">
              <w:rPr>
                <w:rFonts w:ascii="Arial" w:hAnsi="Arial" w:cs="Arial"/>
              </w:rPr>
              <w:t>e.g.</w:t>
            </w:r>
            <w:proofErr w:type="gramEnd"/>
            <w:r w:rsidRPr="00C819A1">
              <w:rPr>
                <w:rFonts w:ascii="Arial" w:hAnsi="Arial" w:cs="Arial"/>
              </w:rPr>
              <w:t xml:space="preserve"> going from residential to outpatient. </w:t>
            </w:r>
          </w:p>
          <w:p w14:paraId="33F35441" w14:textId="0BB480DE" w:rsidR="00C819A1" w:rsidRPr="00DB05A7" w:rsidRDefault="00C819A1" w:rsidP="007816A2">
            <w:pPr>
              <w:rPr>
                <w:rFonts w:ascii="Arial" w:hAnsi="Arial" w:cs="Arial"/>
              </w:rPr>
            </w:pPr>
            <w:r w:rsidRPr="00C819A1">
              <w:rPr>
                <w:rFonts w:ascii="Arial" w:hAnsi="Arial" w:cs="Arial"/>
              </w:rPr>
              <w:t>•</w:t>
            </w:r>
            <w:r>
              <w:rPr>
                <w:rFonts w:ascii="Arial" w:hAnsi="Arial" w:cs="Arial"/>
              </w:rPr>
              <w:t xml:space="preserve"> </w:t>
            </w:r>
            <w:r w:rsidRPr="00C819A1">
              <w:rPr>
                <w:rFonts w:ascii="Arial" w:hAnsi="Arial" w:cs="Arial"/>
              </w:rPr>
              <w:t>Some patients may be successful in their current level of care, so crisis intervention is not always appropriate. This decision can be made between the patient and treatment team.</w:t>
            </w:r>
          </w:p>
        </w:tc>
        <w:tc>
          <w:tcPr>
            <w:tcW w:w="5861" w:type="dxa"/>
            <w:shd w:val="clear" w:color="auto" w:fill="E7E6E6" w:themeFill="background2"/>
            <w:vAlign w:val="center"/>
          </w:tcPr>
          <w:p w14:paraId="18F3FF5B" w14:textId="730553CB" w:rsidR="00C819A1" w:rsidRPr="00B112BC" w:rsidRDefault="00C819A1" w:rsidP="007816A2">
            <w:pPr>
              <w:rPr>
                <w:rFonts w:ascii="Arial" w:hAnsi="Arial" w:cs="Arial"/>
                <w:color w:val="7030A0"/>
              </w:rPr>
            </w:pPr>
            <w:r w:rsidRPr="00B112BC">
              <w:rPr>
                <w:rFonts w:ascii="Arial" w:hAnsi="Arial" w:cs="Arial"/>
                <w:color w:val="7030A0"/>
              </w:rPr>
              <w:t xml:space="preserve">Revised: Added </w:t>
            </w:r>
            <w:r w:rsidRPr="00B112BC">
              <w:rPr>
                <w:rFonts w:ascii="Arial" w:hAnsi="Arial" w:cs="Arial"/>
                <w:i/>
                <w:iCs/>
                <w:color w:val="7030A0"/>
              </w:rPr>
              <w:t>“when appropriate”</w:t>
            </w:r>
            <w:r w:rsidRPr="00B112BC">
              <w:rPr>
                <w:rFonts w:ascii="Arial" w:hAnsi="Arial" w:cs="Arial"/>
                <w:color w:val="7030A0"/>
              </w:rPr>
              <w:t xml:space="preserve"> for clarity. </w:t>
            </w:r>
          </w:p>
        </w:tc>
      </w:tr>
      <w:tr w:rsidR="00EC69F2" w:rsidRPr="00DB05A7" w14:paraId="7BA22E2E" w14:textId="77777777" w:rsidTr="003C7850">
        <w:trPr>
          <w:trHeight w:val="5483"/>
        </w:trPr>
        <w:tc>
          <w:tcPr>
            <w:tcW w:w="831" w:type="dxa"/>
            <w:vMerge w:val="restart"/>
            <w:vAlign w:val="center"/>
          </w:tcPr>
          <w:p w14:paraId="1478EBC3" w14:textId="48E56821" w:rsidR="00EC69F2" w:rsidRPr="00DB05A7" w:rsidRDefault="00EC69F2" w:rsidP="007816A2">
            <w:pPr>
              <w:ind w:left="69"/>
              <w:jc w:val="center"/>
              <w:rPr>
                <w:rFonts w:ascii="Arial" w:hAnsi="Arial" w:cs="Arial"/>
              </w:rPr>
            </w:pPr>
            <w:r w:rsidRPr="00DB05A7">
              <w:rPr>
                <w:rFonts w:ascii="Arial" w:hAnsi="Arial" w:cs="Arial"/>
              </w:rPr>
              <w:lastRenderedPageBreak/>
              <w:t>3</w:t>
            </w:r>
          </w:p>
        </w:tc>
        <w:tc>
          <w:tcPr>
            <w:tcW w:w="1869" w:type="dxa"/>
            <w:vMerge w:val="restart"/>
            <w:vAlign w:val="center"/>
          </w:tcPr>
          <w:p w14:paraId="7DF94A30" w14:textId="4F87C08E" w:rsidR="00EC69F2" w:rsidRPr="00DB05A7" w:rsidRDefault="00EC69F2" w:rsidP="007816A2">
            <w:pPr>
              <w:rPr>
                <w:rFonts w:ascii="Arial" w:hAnsi="Arial" w:cs="Arial"/>
                <w:i/>
                <w:iCs/>
              </w:rPr>
            </w:pPr>
            <w:r w:rsidRPr="00DB05A7">
              <w:rPr>
                <w:rFonts w:ascii="Arial" w:hAnsi="Arial" w:cs="Arial"/>
                <w:i/>
                <w:iCs/>
              </w:rPr>
              <w:t>Procedures. III. Discharge Determination and Transitions. A.2.</w:t>
            </w:r>
          </w:p>
        </w:tc>
        <w:tc>
          <w:tcPr>
            <w:tcW w:w="4497" w:type="dxa"/>
            <w:vMerge w:val="restart"/>
            <w:vAlign w:val="center"/>
          </w:tcPr>
          <w:p w14:paraId="5FA01609" w14:textId="4ACA2B21" w:rsidR="00EC69F2" w:rsidRPr="00DB05A7" w:rsidRDefault="00EC69F2" w:rsidP="007816A2">
            <w:pPr>
              <w:rPr>
                <w:rFonts w:ascii="Arial" w:hAnsi="Arial" w:cs="Arial"/>
                <w:color w:val="0070C0"/>
              </w:rPr>
            </w:pPr>
            <w:r w:rsidRPr="00DB05A7">
              <w:rPr>
                <w:rFonts w:ascii="Arial" w:hAnsi="Arial" w:cs="Arial"/>
                <w:color w:val="0070C0"/>
              </w:rPr>
              <w:t>Residential patients who lapse are not automatically transferred or discharged to a withdrawal management or hospital setting, including those who indicate use of alcohol or opioids. The decision to transfer a patient is based on what is clinically appropriate for the patient as determined through consultation with designated Licensed Practitioner of the Healing Arts (LPHA).</w:t>
            </w:r>
          </w:p>
        </w:tc>
        <w:tc>
          <w:tcPr>
            <w:tcW w:w="5403" w:type="dxa"/>
            <w:vAlign w:val="center"/>
          </w:tcPr>
          <w:p w14:paraId="3E554049" w14:textId="66BCAAF5" w:rsidR="00EC69F2" w:rsidRDefault="00EC69F2" w:rsidP="007816A2">
            <w:pPr>
              <w:rPr>
                <w:rFonts w:ascii="Arial" w:hAnsi="Arial" w:cs="Arial"/>
                <w:b/>
                <w:bCs/>
              </w:rPr>
            </w:pPr>
            <w:r w:rsidRPr="00DB05A7">
              <w:rPr>
                <w:rFonts w:ascii="Arial" w:hAnsi="Arial" w:cs="Arial"/>
              </w:rPr>
              <w:t xml:space="preserve">Residential patients who lapse are not automatically transferred or discharged to a withdrawal management or hospital setting, including those who indicate use of alcohol or opioids. The decision to transfer a patient is based on what is clinically appropriate for the patient as determined through consultation with designated Licensed Practitioner of the Healing Arts (LPHA) </w:t>
            </w:r>
            <w:r w:rsidRPr="00DB05A7">
              <w:rPr>
                <w:rFonts w:ascii="Arial" w:hAnsi="Arial" w:cs="Arial"/>
                <w:b/>
                <w:bCs/>
                <w:highlight w:val="yellow"/>
              </w:rPr>
              <w:t>or consultation with a Medical Director.</w:t>
            </w:r>
          </w:p>
          <w:p w14:paraId="1AF5E817" w14:textId="77777777" w:rsidR="00EC69F2" w:rsidRDefault="00EC69F2" w:rsidP="007816A2">
            <w:pPr>
              <w:rPr>
                <w:rFonts w:ascii="Arial" w:hAnsi="Arial" w:cs="Arial"/>
              </w:rPr>
            </w:pPr>
          </w:p>
          <w:p w14:paraId="1B7A4830" w14:textId="66D57266" w:rsidR="00EC69F2" w:rsidRPr="00DB05A7" w:rsidRDefault="00EC69F2" w:rsidP="007816A2">
            <w:pPr>
              <w:rPr>
                <w:rFonts w:ascii="Arial" w:hAnsi="Arial" w:cs="Arial"/>
              </w:rPr>
            </w:pPr>
            <w:r w:rsidRPr="00C15E00">
              <w:rPr>
                <w:rFonts w:ascii="Arial" w:hAnsi="Arial" w:cs="Arial"/>
              </w:rPr>
              <w:t>This broadens level of care. If patient requires medical care, they may also require attention from a Medical Director. For example, agency may discharge a patient and transfer them to a hospital setting because they're no longer appropriate for agency’s level of care until they get stabilized and can be brought back if appropriate.</w:t>
            </w:r>
          </w:p>
        </w:tc>
        <w:tc>
          <w:tcPr>
            <w:tcW w:w="5861" w:type="dxa"/>
            <w:shd w:val="clear" w:color="auto" w:fill="E7E6E6" w:themeFill="background2"/>
            <w:vAlign w:val="center"/>
          </w:tcPr>
          <w:p w14:paraId="4D665B4D" w14:textId="5F3F335D" w:rsidR="00F25AC6" w:rsidRDefault="00EC69F2" w:rsidP="007816A2">
            <w:pPr>
              <w:rPr>
                <w:rFonts w:ascii="Arial" w:hAnsi="Arial" w:cs="Arial"/>
                <w:color w:val="7030A0"/>
              </w:rPr>
            </w:pPr>
            <w:r w:rsidRPr="00B112BC">
              <w:rPr>
                <w:rFonts w:ascii="Arial" w:hAnsi="Arial" w:cs="Arial"/>
                <w:color w:val="7030A0"/>
              </w:rPr>
              <w:t xml:space="preserve">This statement is to clarify that </w:t>
            </w:r>
            <w:r w:rsidRPr="00B112BC">
              <w:rPr>
                <w:rFonts w:ascii="Arial" w:hAnsi="Arial" w:cs="Arial"/>
                <w:color w:val="7030A0"/>
                <w:u w:val="single"/>
              </w:rPr>
              <w:t>all</w:t>
            </w:r>
            <w:r w:rsidRPr="00B112BC">
              <w:rPr>
                <w:rFonts w:ascii="Arial" w:hAnsi="Arial" w:cs="Arial"/>
                <w:color w:val="7030A0"/>
              </w:rPr>
              <w:t xml:space="preserve"> patients who lapse, including those that use opioids or alcohol, </w:t>
            </w:r>
            <w:r w:rsidRPr="00B112BC">
              <w:rPr>
                <w:rFonts w:ascii="Arial" w:hAnsi="Arial" w:cs="Arial"/>
                <w:color w:val="7030A0"/>
                <w:u w:val="single"/>
              </w:rPr>
              <w:t>do not</w:t>
            </w:r>
            <w:r w:rsidRPr="00B112BC">
              <w:rPr>
                <w:rFonts w:ascii="Arial" w:hAnsi="Arial" w:cs="Arial"/>
                <w:color w:val="7030A0"/>
              </w:rPr>
              <w:t xml:space="preserve"> need to receive off-site medical clearance at a hospital, </w:t>
            </w:r>
            <w:r w:rsidR="00A769FA">
              <w:rPr>
                <w:rFonts w:ascii="Arial" w:hAnsi="Arial" w:cs="Arial"/>
                <w:color w:val="7030A0"/>
              </w:rPr>
              <w:t xml:space="preserve">other urgent or emergency services, or referred to </w:t>
            </w:r>
            <w:r w:rsidRPr="00B112BC">
              <w:rPr>
                <w:rFonts w:ascii="Arial" w:hAnsi="Arial" w:cs="Arial"/>
                <w:color w:val="7030A0"/>
              </w:rPr>
              <w:t>withdrawal management.</w:t>
            </w:r>
            <w:r w:rsidR="00283F4F">
              <w:t xml:space="preserve"> </w:t>
            </w:r>
            <w:r w:rsidRPr="00B112BC">
              <w:rPr>
                <w:rFonts w:ascii="Arial" w:hAnsi="Arial" w:cs="Arial"/>
                <w:color w:val="7030A0"/>
              </w:rPr>
              <w:t xml:space="preserve">Further, it should not be standard policy to obtain medical clearance or </w:t>
            </w:r>
            <w:r w:rsidR="00A769FA">
              <w:rPr>
                <w:rFonts w:ascii="Arial" w:hAnsi="Arial" w:cs="Arial"/>
                <w:color w:val="7030A0"/>
              </w:rPr>
              <w:t xml:space="preserve">require </w:t>
            </w:r>
            <w:r w:rsidRPr="00B112BC">
              <w:rPr>
                <w:rFonts w:ascii="Arial" w:hAnsi="Arial" w:cs="Arial"/>
                <w:color w:val="7030A0"/>
              </w:rPr>
              <w:t xml:space="preserve">withdrawal management services when the patient’s presenting symptoms do not warrant that level of care. The decision to seek medical services must be determined on a </w:t>
            </w:r>
            <w:r w:rsidRPr="00283F4F">
              <w:rPr>
                <w:rFonts w:ascii="Arial" w:hAnsi="Arial" w:cs="Arial"/>
                <w:color w:val="7030A0"/>
              </w:rPr>
              <w:t>case-by-case-basis</w:t>
            </w:r>
            <w:r w:rsidR="0094355A">
              <w:rPr>
                <w:rFonts w:ascii="Arial" w:hAnsi="Arial" w:cs="Arial"/>
                <w:color w:val="7030A0"/>
              </w:rPr>
              <w:t xml:space="preserve">, and based upon </w:t>
            </w:r>
            <w:r w:rsidR="00F9634B">
              <w:rPr>
                <w:rFonts w:ascii="Arial" w:hAnsi="Arial" w:cs="Arial"/>
                <w:color w:val="7030A0"/>
              </w:rPr>
              <w:t xml:space="preserve">an individualized determination </w:t>
            </w:r>
            <w:r w:rsidR="002B48D2">
              <w:rPr>
                <w:rFonts w:ascii="Arial" w:hAnsi="Arial" w:cs="Arial"/>
                <w:color w:val="7030A0"/>
              </w:rPr>
              <w:t xml:space="preserve">that the patient has symptoms which require medical services based on consultation with a qualified </w:t>
            </w:r>
            <w:r w:rsidR="00283F4F">
              <w:rPr>
                <w:rFonts w:ascii="Arial" w:hAnsi="Arial" w:cs="Arial"/>
                <w:color w:val="7030A0"/>
              </w:rPr>
              <w:t>practitioner (including, but not limited to, the medical director).</w:t>
            </w:r>
          </w:p>
          <w:p w14:paraId="7C7259F6" w14:textId="77777777" w:rsidR="00EC69F2" w:rsidRPr="00B112BC" w:rsidRDefault="00EC69F2" w:rsidP="007816A2">
            <w:pPr>
              <w:rPr>
                <w:rFonts w:ascii="Arial" w:hAnsi="Arial" w:cs="Arial"/>
                <w:color w:val="7030A0"/>
              </w:rPr>
            </w:pPr>
          </w:p>
          <w:p w14:paraId="49F22814" w14:textId="7B6B2F6C" w:rsidR="00EC69F2" w:rsidRPr="00B112BC" w:rsidRDefault="00EC69F2" w:rsidP="007816A2">
            <w:pPr>
              <w:rPr>
                <w:rFonts w:ascii="Arial" w:hAnsi="Arial" w:cs="Arial"/>
                <w:color w:val="7030A0"/>
              </w:rPr>
            </w:pPr>
            <w:r w:rsidRPr="00B112BC">
              <w:rPr>
                <w:rFonts w:ascii="Arial" w:hAnsi="Arial" w:cs="Arial"/>
                <w:color w:val="7030A0"/>
              </w:rPr>
              <w:t xml:space="preserve">There are other facility types that manage patients onsite when substances are </w:t>
            </w:r>
            <w:proofErr w:type="gramStart"/>
            <w:r w:rsidRPr="00B112BC">
              <w:rPr>
                <w:rFonts w:ascii="Arial" w:hAnsi="Arial" w:cs="Arial"/>
                <w:color w:val="7030A0"/>
              </w:rPr>
              <w:t>used</w:t>
            </w:r>
            <w:proofErr w:type="gramEnd"/>
            <w:r w:rsidRPr="00B112BC">
              <w:rPr>
                <w:rFonts w:ascii="Arial" w:hAnsi="Arial" w:cs="Arial"/>
                <w:color w:val="7030A0"/>
              </w:rPr>
              <w:t xml:space="preserve"> and this can be an effective model for some </w:t>
            </w:r>
            <w:r w:rsidR="00324DA4" w:rsidRPr="00B112BC">
              <w:rPr>
                <w:rFonts w:ascii="Arial" w:hAnsi="Arial" w:cs="Arial"/>
                <w:color w:val="7030A0"/>
              </w:rPr>
              <w:t>patients and</w:t>
            </w:r>
            <w:r w:rsidRPr="00B112BC">
              <w:rPr>
                <w:rFonts w:ascii="Arial" w:hAnsi="Arial" w:cs="Arial"/>
                <w:color w:val="7030A0"/>
              </w:rPr>
              <w:t xml:space="preserve"> reduce the risk that patients do not return to the program after the off-site services. </w:t>
            </w:r>
          </w:p>
          <w:p w14:paraId="69F86EE4" w14:textId="77777777" w:rsidR="00EC69F2" w:rsidRPr="00B112BC" w:rsidRDefault="00EC69F2" w:rsidP="007816A2">
            <w:pPr>
              <w:rPr>
                <w:rFonts w:ascii="Arial" w:hAnsi="Arial" w:cs="Arial"/>
                <w:color w:val="7030A0"/>
              </w:rPr>
            </w:pPr>
          </w:p>
          <w:p w14:paraId="3D302903" w14:textId="07FE1109" w:rsidR="00EC69F2" w:rsidRPr="00B112BC" w:rsidRDefault="00EC69F2" w:rsidP="00B71701">
            <w:pPr>
              <w:rPr>
                <w:rFonts w:ascii="Arial" w:hAnsi="Arial" w:cs="Arial"/>
                <w:color w:val="7030A0"/>
              </w:rPr>
            </w:pPr>
            <w:r w:rsidRPr="00B112BC">
              <w:rPr>
                <w:rFonts w:ascii="Arial" w:hAnsi="Arial" w:cs="Arial"/>
                <w:color w:val="7030A0"/>
              </w:rPr>
              <w:t>While a “Medical Director” is an LPHA – this was added to clarify consulting positions</w:t>
            </w:r>
            <w:r w:rsidR="002323EC">
              <w:rPr>
                <w:rFonts w:ascii="Arial" w:hAnsi="Arial" w:cs="Arial"/>
                <w:color w:val="7030A0"/>
              </w:rPr>
              <w:t xml:space="preserve">. SAPC also added “or physician” to </w:t>
            </w:r>
            <w:r w:rsidR="003C7850">
              <w:rPr>
                <w:rFonts w:ascii="Arial" w:hAnsi="Arial" w:cs="Arial"/>
                <w:color w:val="7030A0"/>
              </w:rPr>
              <w:t>includ</w:t>
            </w:r>
            <w:r w:rsidR="005B6CF4">
              <w:rPr>
                <w:rFonts w:ascii="Arial" w:hAnsi="Arial" w:cs="Arial"/>
                <w:color w:val="7030A0"/>
              </w:rPr>
              <w:t>e</w:t>
            </w:r>
            <w:r w:rsidR="003C7850">
              <w:rPr>
                <w:rFonts w:ascii="Arial" w:hAnsi="Arial" w:cs="Arial"/>
                <w:color w:val="7030A0"/>
              </w:rPr>
              <w:t xml:space="preserve"> physicians that are not the DMC designated “Medical Director”</w:t>
            </w:r>
            <w:r w:rsidRPr="00B112BC">
              <w:rPr>
                <w:rFonts w:ascii="Arial" w:hAnsi="Arial" w:cs="Arial"/>
                <w:color w:val="7030A0"/>
              </w:rPr>
              <w:t xml:space="preserve">. </w:t>
            </w:r>
          </w:p>
        </w:tc>
      </w:tr>
      <w:tr w:rsidR="00EC69F2" w:rsidRPr="00DB05A7" w14:paraId="596FDEB1" w14:textId="77777777" w:rsidTr="007816A2">
        <w:trPr>
          <w:trHeight w:val="4148"/>
        </w:trPr>
        <w:tc>
          <w:tcPr>
            <w:tcW w:w="831" w:type="dxa"/>
            <w:vMerge/>
            <w:vAlign w:val="center"/>
          </w:tcPr>
          <w:p w14:paraId="73D06DBD" w14:textId="77777777" w:rsidR="00EC69F2" w:rsidRPr="00DB05A7" w:rsidRDefault="00EC69F2" w:rsidP="007816A2">
            <w:pPr>
              <w:ind w:left="69"/>
              <w:jc w:val="center"/>
              <w:rPr>
                <w:rFonts w:ascii="Arial" w:hAnsi="Arial" w:cs="Arial"/>
              </w:rPr>
            </w:pPr>
          </w:p>
        </w:tc>
        <w:tc>
          <w:tcPr>
            <w:tcW w:w="1869" w:type="dxa"/>
            <w:vMerge/>
            <w:vAlign w:val="center"/>
          </w:tcPr>
          <w:p w14:paraId="1E0EDEE7" w14:textId="77777777" w:rsidR="00EC69F2" w:rsidRPr="00DB05A7" w:rsidRDefault="00EC69F2" w:rsidP="007816A2">
            <w:pPr>
              <w:rPr>
                <w:rFonts w:ascii="Arial" w:hAnsi="Arial" w:cs="Arial"/>
                <w:i/>
                <w:iCs/>
              </w:rPr>
            </w:pPr>
          </w:p>
        </w:tc>
        <w:tc>
          <w:tcPr>
            <w:tcW w:w="4497" w:type="dxa"/>
            <w:vMerge/>
            <w:vAlign w:val="center"/>
          </w:tcPr>
          <w:p w14:paraId="3B8A057B" w14:textId="77777777" w:rsidR="00EC69F2" w:rsidRPr="00DB05A7" w:rsidRDefault="00EC69F2" w:rsidP="007816A2">
            <w:pPr>
              <w:rPr>
                <w:rFonts w:ascii="Arial" w:hAnsi="Arial" w:cs="Arial"/>
                <w:color w:val="0070C0"/>
              </w:rPr>
            </w:pPr>
          </w:p>
        </w:tc>
        <w:tc>
          <w:tcPr>
            <w:tcW w:w="5403" w:type="dxa"/>
            <w:vAlign w:val="center"/>
          </w:tcPr>
          <w:p w14:paraId="3901170D" w14:textId="1222FE4B" w:rsidR="00EC69F2" w:rsidRPr="00DB05A7" w:rsidRDefault="00EC69F2" w:rsidP="007816A2">
            <w:pPr>
              <w:rPr>
                <w:rFonts w:ascii="Arial" w:hAnsi="Arial" w:cs="Arial"/>
              </w:rPr>
            </w:pPr>
            <w:r w:rsidRPr="0096761D">
              <w:rPr>
                <w:rFonts w:ascii="Arial" w:hAnsi="Arial" w:cs="Arial"/>
              </w:rPr>
              <w:t>How does this conflict with DHCS standards?</w:t>
            </w:r>
          </w:p>
        </w:tc>
        <w:tc>
          <w:tcPr>
            <w:tcW w:w="5861" w:type="dxa"/>
            <w:shd w:val="clear" w:color="auto" w:fill="E7E6E6" w:themeFill="background2"/>
            <w:vAlign w:val="center"/>
          </w:tcPr>
          <w:p w14:paraId="79DE1F9E" w14:textId="3F67A689" w:rsidR="00EC69F2" w:rsidRPr="00B112BC" w:rsidRDefault="00EC69F2" w:rsidP="007816A2">
            <w:pPr>
              <w:rPr>
                <w:rFonts w:ascii="Arial" w:hAnsi="Arial" w:cs="Arial"/>
                <w:color w:val="7030A0"/>
              </w:rPr>
            </w:pPr>
            <w:r w:rsidRPr="00B112BC">
              <w:rPr>
                <w:rFonts w:ascii="Arial" w:hAnsi="Arial" w:cs="Arial"/>
                <w:color w:val="7030A0"/>
              </w:rPr>
              <w:t xml:space="preserve">SAPC is aware of DHCS </w:t>
            </w:r>
            <w:hyperlink r:id="rId11" w:history="1">
              <w:r w:rsidRPr="00B112BC">
                <w:rPr>
                  <w:rStyle w:val="Hyperlink"/>
                  <w:rFonts w:ascii="Arial" w:hAnsi="Arial" w:cs="Arial"/>
                  <w:color w:val="7030A0"/>
                </w:rPr>
                <w:t>Title 9 Section California Code of Regulations for Residential Licensing</w:t>
              </w:r>
            </w:hyperlink>
            <w:r w:rsidRPr="00B112BC">
              <w:rPr>
                <w:rFonts w:ascii="Arial" w:hAnsi="Arial" w:cs="Arial"/>
                <w:color w:val="7030A0"/>
              </w:rPr>
              <w:t xml:space="preserve"> </w:t>
            </w:r>
            <w:hyperlink r:id="rId12" w:history="1">
              <w:r w:rsidRPr="00B112BC">
                <w:rPr>
                  <w:rStyle w:val="Hyperlink"/>
                  <w:rFonts w:ascii="Arial" w:hAnsi="Arial" w:cs="Arial"/>
                  <w:color w:val="7030A0"/>
                </w:rPr>
                <w:t>Section 10572e</w:t>
              </w:r>
            </w:hyperlink>
            <w:r w:rsidRPr="00B112BC">
              <w:rPr>
                <w:rFonts w:ascii="Arial" w:hAnsi="Arial" w:cs="Arial"/>
                <w:color w:val="7030A0"/>
              </w:rPr>
              <w:t xml:space="preserve"> that states</w:t>
            </w:r>
            <w:r w:rsidRPr="00B112BC">
              <w:rPr>
                <w:rFonts w:ascii="Arial" w:hAnsi="Arial" w:cs="Arial"/>
                <w:i/>
                <w:iCs/>
                <w:color w:val="7030A0"/>
              </w:rPr>
              <w:t xml:space="preserve"> “(e) No person, who, within the previous 24 hours, has consumed, used, or is still otherwise under the influence of alcohol or drugs as specified in section 10501(a), shall</w:t>
            </w:r>
            <w:r w:rsidRPr="00B112BC">
              <w:rPr>
                <w:rFonts w:ascii="Arial" w:hAnsi="Arial" w:cs="Arial"/>
                <w:i/>
                <w:iCs/>
                <w:color w:val="7030A0"/>
                <w:spacing w:val="-3"/>
              </w:rPr>
              <w:t xml:space="preserve"> </w:t>
            </w:r>
            <w:r w:rsidRPr="00B112BC">
              <w:rPr>
                <w:rFonts w:ascii="Arial" w:hAnsi="Arial" w:cs="Arial"/>
                <w:i/>
                <w:iCs/>
                <w:color w:val="7030A0"/>
              </w:rPr>
              <w:t>be</w:t>
            </w:r>
            <w:r w:rsidRPr="00B112BC">
              <w:rPr>
                <w:rFonts w:ascii="Arial" w:hAnsi="Arial" w:cs="Arial"/>
                <w:i/>
                <w:iCs/>
                <w:color w:val="7030A0"/>
                <w:spacing w:val="-3"/>
              </w:rPr>
              <w:t xml:space="preserve"> </w:t>
            </w:r>
            <w:r w:rsidRPr="00B112BC">
              <w:rPr>
                <w:rFonts w:ascii="Arial" w:hAnsi="Arial" w:cs="Arial"/>
                <w:i/>
                <w:iCs/>
                <w:color w:val="7030A0"/>
              </w:rPr>
              <w:t>permitted</w:t>
            </w:r>
            <w:r w:rsidRPr="00B112BC">
              <w:rPr>
                <w:rFonts w:ascii="Arial" w:hAnsi="Arial" w:cs="Arial"/>
                <w:i/>
                <w:iCs/>
                <w:color w:val="7030A0"/>
                <w:spacing w:val="-3"/>
              </w:rPr>
              <w:t xml:space="preserve"> </w:t>
            </w:r>
            <w:r w:rsidRPr="00B112BC">
              <w:rPr>
                <w:rFonts w:ascii="Arial" w:hAnsi="Arial" w:cs="Arial"/>
                <w:i/>
                <w:iCs/>
                <w:color w:val="7030A0"/>
              </w:rPr>
              <w:t>on</w:t>
            </w:r>
            <w:r w:rsidRPr="00B112BC">
              <w:rPr>
                <w:rFonts w:ascii="Arial" w:hAnsi="Arial" w:cs="Arial"/>
                <w:i/>
                <w:iCs/>
                <w:color w:val="7030A0"/>
                <w:spacing w:val="-3"/>
              </w:rPr>
              <w:t xml:space="preserve"> </w:t>
            </w:r>
            <w:r w:rsidRPr="00B112BC">
              <w:rPr>
                <w:rFonts w:ascii="Arial" w:hAnsi="Arial" w:cs="Arial"/>
                <w:i/>
                <w:iCs/>
                <w:color w:val="7030A0"/>
              </w:rPr>
              <w:t>the</w:t>
            </w:r>
            <w:r w:rsidRPr="00B112BC">
              <w:rPr>
                <w:rFonts w:ascii="Arial" w:hAnsi="Arial" w:cs="Arial"/>
                <w:i/>
                <w:iCs/>
                <w:color w:val="7030A0"/>
                <w:spacing w:val="-3"/>
              </w:rPr>
              <w:t xml:space="preserve"> </w:t>
            </w:r>
            <w:r w:rsidRPr="00B112BC">
              <w:rPr>
                <w:rFonts w:ascii="Arial" w:hAnsi="Arial" w:cs="Arial"/>
                <w:i/>
                <w:iCs/>
                <w:color w:val="7030A0"/>
              </w:rPr>
              <w:t>premises</w:t>
            </w:r>
            <w:r w:rsidRPr="00B112BC">
              <w:rPr>
                <w:rFonts w:ascii="Arial" w:hAnsi="Arial" w:cs="Arial"/>
                <w:i/>
                <w:iCs/>
                <w:color w:val="7030A0"/>
                <w:spacing w:val="-4"/>
              </w:rPr>
              <w:t xml:space="preserve"> </w:t>
            </w:r>
            <w:r w:rsidRPr="00B112BC">
              <w:rPr>
                <w:rFonts w:ascii="Arial" w:hAnsi="Arial" w:cs="Arial"/>
                <w:i/>
                <w:iCs/>
                <w:color w:val="7030A0"/>
              </w:rPr>
              <w:t>except</w:t>
            </w:r>
            <w:r w:rsidRPr="00B112BC">
              <w:rPr>
                <w:rFonts w:ascii="Arial" w:hAnsi="Arial" w:cs="Arial"/>
                <w:i/>
                <w:iCs/>
                <w:color w:val="7030A0"/>
                <w:spacing w:val="-6"/>
              </w:rPr>
              <w:t xml:space="preserve"> </w:t>
            </w:r>
            <w:r w:rsidRPr="00B112BC">
              <w:rPr>
                <w:rFonts w:ascii="Arial" w:hAnsi="Arial" w:cs="Arial"/>
                <w:i/>
                <w:iCs/>
                <w:color w:val="7030A0"/>
              </w:rPr>
              <w:t>for</w:t>
            </w:r>
            <w:r w:rsidRPr="00B112BC">
              <w:rPr>
                <w:rFonts w:ascii="Arial" w:hAnsi="Arial" w:cs="Arial"/>
                <w:i/>
                <w:iCs/>
                <w:color w:val="7030A0"/>
                <w:spacing w:val="-4"/>
              </w:rPr>
              <w:t xml:space="preserve"> </w:t>
            </w:r>
            <w:r w:rsidRPr="00B112BC">
              <w:rPr>
                <w:rFonts w:ascii="Arial" w:hAnsi="Arial" w:cs="Arial"/>
                <w:i/>
                <w:iCs/>
                <w:color w:val="7030A0"/>
              </w:rPr>
              <w:t>individuals</w:t>
            </w:r>
            <w:r w:rsidRPr="00B112BC">
              <w:rPr>
                <w:rFonts w:ascii="Arial" w:hAnsi="Arial" w:cs="Arial"/>
                <w:i/>
                <w:iCs/>
                <w:color w:val="7030A0"/>
                <w:spacing w:val="-4"/>
              </w:rPr>
              <w:t xml:space="preserve"> </w:t>
            </w:r>
            <w:r w:rsidRPr="00B112BC">
              <w:rPr>
                <w:rFonts w:ascii="Arial" w:hAnsi="Arial" w:cs="Arial"/>
                <w:i/>
                <w:iCs/>
                <w:color w:val="7030A0"/>
              </w:rPr>
              <w:t>admitted</w:t>
            </w:r>
            <w:r w:rsidRPr="00B112BC">
              <w:rPr>
                <w:rFonts w:ascii="Arial" w:hAnsi="Arial" w:cs="Arial"/>
                <w:i/>
                <w:iCs/>
                <w:color w:val="7030A0"/>
                <w:spacing w:val="-3"/>
              </w:rPr>
              <w:t xml:space="preserve"> </w:t>
            </w:r>
            <w:r w:rsidRPr="00B112BC">
              <w:rPr>
                <w:rFonts w:ascii="Arial" w:hAnsi="Arial" w:cs="Arial"/>
                <w:i/>
                <w:iCs/>
                <w:color w:val="7030A0"/>
              </w:rPr>
              <w:t>for</w:t>
            </w:r>
            <w:r w:rsidRPr="00B112BC">
              <w:rPr>
                <w:rFonts w:ascii="Arial" w:hAnsi="Arial" w:cs="Arial"/>
                <w:i/>
                <w:iCs/>
                <w:color w:val="7030A0"/>
                <w:spacing w:val="-4"/>
              </w:rPr>
              <w:t xml:space="preserve"> </w:t>
            </w:r>
            <w:r w:rsidRPr="00B112BC">
              <w:rPr>
                <w:rFonts w:ascii="Arial" w:hAnsi="Arial" w:cs="Arial"/>
                <w:i/>
                <w:iCs/>
                <w:color w:val="7030A0"/>
              </w:rPr>
              <w:t>detoxification or withdrawal. The licensee shall have specific written rules and policies and procedures to enforce this provision”</w:t>
            </w:r>
            <w:r w:rsidRPr="00B112BC">
              <w:rPr>
                <w:rFonts w:ascii="Arial" w:hAnsi="Arial" w:cs="Arial"/>
                <w:color w:val="7030A0"/>
              </w:rPr>
              <w:t xml:space="preserve">, however, this is not current best </w:t>
            </w:r>
            <w:proofErr w:type="gramStart"/>
            <w:r w:rsidRPr="00B112BC">
              <w:rPr>
                <w:rFonts w:ascii="Arial" w:hAnsi="Arial" w:cs="Arial"/>
                <w:color w:val="7030A0"/>
              </w:rPr>
              <w:t>practice</w:t>
            </w:r>
            <w:proofErr w:type="gramEnd"/>
            <w:r w:rsidRPr="00B112BC">
              <w:rPr>
                <w:rFonts w:ascii="Arial" w:hAnsi="Arial" w:cs="Arial"/>
                <w:color w:val="7030A0"/>
              </w:rPr>
              <w:t xml:space="preserve"> and the State is currently working to update regulations. In the meantime, providers should obtain Incidental Medical Services (IMS) certification if there are concerns about this transition and notify SAPC if the State issues an associated citation so support can be provided. If there are concerns about how to operationalize this, please contact SAPC. </w:t>
            </w:r>
          </w:p>
        </w:tc>
      </w:tr>
      <w:tr w:rsidR="00FA5B23" w:rsidRPr="00DB05A7" w14:paraId="1B00BCB9" w14:textId="77777777" w:rsidTr="007816A2">
        <w:trPr>
          <w:trHeight w:val="1826"/>
        </w:trPr>
        <w:tc>
          <w:tcPr>
            <w:tcW w:w="831" w:type="dxa"/>
            <w:vMerge w:val="restart"/>
            <w:vAlign w:val="center"/>
          </w:tcPr>
          <w:p w14:paraId="15D3C0C5" w14:textId="6A4BDD05" w:rsidR="00FA5B23" w:rsidRPr="00DB05A7" w:rsidRDefault="00FA5B23" w:rsidP="007816A2">
            <w:pPr>
              <w:ind w:left="69"/>
              <w:jc w:val="center"/>
              <w:rPr>
                <w:rFonts w:ascii="Arial" w:hAnsi="Arial" w:cs="Arial"/>
              </w:rPr>
            </w:pPr>
            <w:r w:rsidRPr="00DB05A7">
              <w:rPr>
                <w:rFonts w:ascii="Arial" w:hAnsi="Arial" w:cs="Arial"/>
              </w:rPr>
              <w:t>3</w:t>
            </w:r>
          </w:p>
        </w:tc>
        <w:tc>
          <w:tcPr>
            <w:tcW w:w="1869" w:type="dxa"/>
            <w:vMerge w:val="restart"/>
            <w:vAlign w:val="center"/>
          </w:tcPr>
          <w:p w14:paraId="7796F1C5" w14:textId="77042FBE" w:rsidR="00FA5B23" w:rsidRPr="00DB05A7" w:rsidRDefault="00FA5B23" w:rsidP="007816A2">
            <w:pPr>
              <w:rPr>
                <w:rFonts w:ascii="Arial" w:hAnsi="Arial" w:cs="Arial"/>
                <w:i/>
                <w:iCs/>
              </w:rPr>
            </w:pPr>
            <w:r w:rsidRPr="00DB05A7">
              <w:rPr>
                <w:rFonts w:ascii="Arial" w:hAnsi="Arial" w:cs="Arial"/>
                <w:i/>
                <w:iCs/>
              </w:rPr>
              <w:t>Procedures. III. Discharge Determination and Transitions. A.2.a</w:t>
            </w:r>
          </w:p>
        </w:tc>
        <w:tc>
          <w:tcPr>
            <w:tcW w:w="4497" w:type="dxa"/>
            <w:vMerge w:val="restart"/>
            <w:vAlign w:val="center"/>
          </w:tcPr>
          <w:p w14:paraId="74C61936" w14:textId="24724B2D" w:rsidR="00FA5B23" w:rsidRPr="00DB05A7" w:rsidRDefault="00FA5B23" w:rsidP="007816A2">
            <w:pPr>
              <w:rPr>
                <w:rFonts w:ascii="Arial" w:hAnsi="Arial" w:cs="Arial"/>
                <w:color w:val="0070C0"/>
              </w:rPr>
            </w:pPr>
            <w:r w:rsidRPr="00DB05A7">
              <w:rPr>
                <w:rFonts w:ascii="Arial" w:hAnsi="Arial" w:cs="Arial"/>
                <w:color w:val="0070C0"/>
              </w:rPr>
              <w:t xml:space="preserve">Patients who lapse and remain in the program are provided a dedicated resting/sleeping area temporarily to facilitate improved staff monitoring when this supports the safety and comfort of the patient and other residents.  </w:t>
            </w:r>
          </w:p>
        </w:tc>
        <w:tc>
          <w:tcPr>
            <w:tcW w:w="5403" w:type="dxa"/>
            <w:vAlign w:val="center"/>
          </w:tcPr>
          <w:p w14:paraId="6EC21630" w14:textId="4DA52107" w:rsidR="00FA5B23" w:rsidRPr="00DB05A7" w:rsidRDefault="00FA5B23" w:rsidP="007816A2">
            <w:pPr>
              <w:rPr>
                <w:rFonts w:ascii="Arial" w:hAnsi="Arial" w:cs="Arial"/>
                <w:strike/>
              </w:rPr>
            </w:pPr>
            <w:r w:rsidRPr="00DB05A7">
              <w:rPr>
                <w:rFonts w:ascii="Arial" w:hAnsi="Arial" w:cs="Arial"/>
                <w:b/>
                <w:bCs/>
              </w:rPr>
              <w:t>(REMOVE LINE)</w:t>
            </w:r>
            <w:r w:rsidRPr="00DB05A7">
              <w:rPr>
                <w:rFonts w:ascii="Arial" w:hAnsi="Arial" w:cs="Arial"/>
              </w:rPr>
              <w:t xml:space="preserve"> </w:t>
            </w:r>
            <w:r w:rsidRPr="00DB05A7">
              <w:rPr>
                <w:rFonts w:ascii="Arial" w:hAnsi="Arial" w:cs="Arial"/>
                <w:strike/>
              </w:rPr>
              <w:t xml:space="preserve">Patients who lapse and remain in the program are provided a dedicated resting/sleeping area temporarily to facilitate improved staff monitoring when this supports the safety and comfort of the patient and other residents.  </w:t>
            </w:r>
          </w:p>
        </w:tc>
        <w:tc>
          <w:tcPr>
            <w:tcW w:w="5861" w:type="dxa"/>
            <w:shd w:val="clear" w:color="auto" w:fill="E7E6E6" w:themeFill="background2"/>
            <w:vAlign w:val="center"/>
          </w:tcPr>
          <w:p w14:paraId="26DA2D18" w14:textId="145F5514" w:rsidR="00FA5B23" w:rsidRPr="00B112BC" w:rsidRDefault="00FA5B23" w:rsidP="007816A2">
            <w:pPr>
              <w:rPr>
                <w:rFonts w:ascii="Arial" w:hAnsi="Arial" w:cs="Arial"/>
                <w:color w:val="7030A0"/>
              </w:rPr>
            </w:pPr>
            <w:r w:rsidRPr="00B112BC">
              <w:rPr>
                <w:rFonts w:ascii="Arial" w:hAnsi="Arial" w:cs="Arial"/>
                <w:color w:val="7030A0"/>
              </w:rPr>
              <w:t xml:space="preserve"> A dedicated sleeping area is optional, as noted with “black” text.</w:t>
            </w:r>
            <w:r w:rsidR="007A1754" w:rsidRPr="00B112BC">
              <w:rPr>
                <w:rFonts w:ascii="Arial" w:hAnsi="Arial" w:cs="Arial"/>
                <w:color w:val="7030A0"/>
              </w:rPr>
              <w:t xml:space="preserve"> See below for further information.</w:t>
            </w:r>
          </w:p>
        </w:tc>
      </w:tr>
      <w:tr w:rsidR="00FA5B23" w:rsidRPr="00DB05A7" w14:paraId="50EC8132" w14:textId="77777777" w:rsidTr="007816A2">
        <w:trPr>
          <w:trHeight w:val="4490"/>
        </w:trPr>
        <w:tc>
          <w:tcPr>
            <w:tcW w:w="831" w:type="dxa"/>
            <w:vMerge/>
            <w:vAlign w:val="center"/>
          </w:tcPr>
          <w:p w14:paraId="07D7AE62" w14:textId="77777777" w:rsidR="00FA5B23" w:rsidRPr="00DB05A7" w:rsidRDefault="00FA5B23" w:rsidP="007816A2">
            <w:pPr>
              <w:ind w:left="69"/>
              <w:jc w:val="center"/>
              <w:rPr>
                <w:rFonts w:ascii="Arial" w:hAnsi="Arial" w:cs="Arial"/>
              </w:rPr>
            </w:pPr>
          </w:p>
        </w:tc>
        <w:tc>
          <w:tcPr>
            <w:tcW w:w="1869" w:type="dxa"/>
            <w:vMerge/>
            <w:vAlign w:val="center"/>
          </w:tcPr>
          <w:p w14:paraId="78499614" w14:textId="77777777" w:rsidR="00FA5B23" w:rsidRPr="00DB05A7" w:rsidRDefault="00FA5B23" w:rsidP="007816A2">
            <w:pPr>
              <w:rPr>
                <w:rFonts w:ascii="Arial" w:hAnsi="Arial" w:cs="Arial"/>
                <w:i/>
                <w:iCs/>
              </w:rPr>
            </w:pPr>
          </w:p>
        </w:tc>
        <w:tc>
          <w:tcPr>
            <w:tcW w:w="4497" w:type="dxa"/>
            <w:vMerge/>
            <w:vAlign w:val="center"/>
          </w:tcPr>
          <w:p w14:paraId="3A0F6B1C" w14:textId="77777777" w:rsidR="00FA5B23" w:rsidRPr="00DB05A7" w:rsidRDefault="00FA5B23" w:rsidP="007816A2">
            <w:pPr>
              <w:rPr>
                <w:rFonts w:ascii="Arial" w:hAnsi="Arial" w:cs="Arial"/>
                <w:color w:val="0070C0"/>
              </w:rPr>
            </w:pPr>
          </w:p>
        </w:tc>
        <w:tc>
          <w:tcPr>
            <w:tcW w:w="5403" w:type="dxa"/>
            <w:vAlign w:val="center"/>
          </w:tcPr>
          <w:p w14:paraId="38D2CC1F" w14:textId="77777777" w:rsidR="00FA5B23" w:rsidRPr="00DB05A7" w:rsidRDefault="00FA5B23" w:rsidP="007816A2">
            <w:pPr>
              <w:pStyle w:val="ListParagraph"/>
              <w:numPr>
                <w:ilvl w:val="0"/>
                <w:numId w:val="2"/>
              </w:numPr>
              <w:ind w:left="357"/>
              <w:rPr>
                <w:rFonts w:ascii="Arial" w:hAnsi="Arial" w:cs="Arial"/>
              </w:rPr>
            </w:pPr>
            <w:r w:rsidRPr="00DB05A7">
              <w:rPr>
                <w:rFonts w:ascii="Arial" w:hAnsi="Arial" w:cs="Arial"/>
              </w:rPr>
              <w:t xml:space="preserve">Providing a “dedicated resting/sleeping area” may not be practical for most residential programs to provide as most do not have private rooms available to accomplish this. The alternative is to house the relapsed patient with others. Exposing others to individuals who are clearly under the influence is extremely triggering to them and should be avoided. </w:t>
            </w:r>
          </w:p>
          <w:p w14:paraId="594E5EF9" w14:textId="77777777" w:rsidR="00FA5B23" w:rsidRDefault="00FA5B23" w:rsidP="007816A2">
            <w:pPr>
              <w:pStyle w:val="ListParagraph"/>
              <w:numPr>
                <w:ilvl w:val="0"/>
                <w:numId w:val="2"/>
              </w:numPr>
              <w:ind w:left="357"/>
              <w:rPr>
                <w:rFonts w:ascii="Arial" w:hAnsi="Arial" w:cs="Arial"/>
              </w:rPr>
            </w:pPr>
            <w:r w:rsidRPr="00DB05A7">
              <w:rPr>
                <w:rFonts w:ascii="Arial" w:hAnsi="Arial" w:cs="Arial"/>
              </w:rPr>
              <w:t xml:space="preserve">Some agencies can accommodate while others may be required to move someone out of their bed to move this </w:t>
            </w:r>
            <w:r>
              <w:rPr>
                <w:rFonts w:ascii="Arial" w:hAnsi="Arial" w:cs="Arial"/>
              </w:rPr>
              <w:t>patient</w:t>
            </w:r>
            <w:r w:rsidRPr="00DB05A7">
              <w:rPr>
                <w:rFonts w:ascii="Arial" w:hAnsi="Arial" w:cs="Arial"/>
              </w:rPr>
              <w:t xml:space="preserve"> over, which may unfairly penalize other </w:t>
            </w:r>
            <w:r>
              <w:rPr>
                <w:rFonts w:ascii="Arial" w:hAnsi="Arial" w:cs="Arial"/>
              </w:rPr>
              <w:t>patients</w:t>
            </w:r>
            <w:r w:rsidRPr="00DB05A7">
              <w:rPr>
                <w:rFonts w:ascii="Arial" w:hAnsi="Arial" w:cs="Arial"/>
              </w:rPr>
              <w:t xml:space="preserve"> in program.</w:t>
            </w:r>
          </w:p>
          <w:p w14:paraId="7C8CF619" w14:textId="4F24FEC3" w:rsidR="00FA5B23" w:rsidRPr="00FA5B23" w:rsidRDefault="00FA5B23" w:rsidP="007816A2">
            <w:pPr>
              <w:pStyle w:val="ListParagraph"/>
              <w:numPr>
                <w:ilvl w:val="0"/>
                <w:numId w:val="2"/>
              </w:numPr>
              <w:ind w:left="357"/>
              <w:rPr>
                <w:rFonts w:ascii="Arial" w:hAnsi="Arial" w:cs="Arial"/>
              </w:rPr>
            </w:pPr>
            <w:r w:rsidRPr="00FA5B23">
              <w:rPr>
                <w:rFonts w:ascii="Arial" w:hAnsi="Arial" w:cs="Arial"/>
              </w:rPr>
              <w:t>Agencies require autonomy to choose how to support the patient, monitor the patient, and conduct the day-to-day operations of treatment and to do all they can to avoid discharge for patients who lapse in their recovery</w:t>
            </w:r>
          </w:p>
        </w:tc>
        <w:tc>
          <w:tcPr>
            <w:tcW w:w="5861" w:type="dxa"/>
            <w:shd w:val="clear" w:color="auto" w:fill="E7E6E6" w:themeFill="background2"/>
            <w:vAlign w:val="center"/>
          </w:tcPr>
          <w:p w14:paraId="46CA109F" w14:textId="3FD1EEBD" w:rsidR="00FA5B23" w:rsidRPr="00B112BC" w:rsidRDefault="007A1754" w:rsidP="007816A2">
            <w:pPr>
              <w:rPr>
                <w:rFonts w:ascii="Arial" w:hAnsi="Arial" w:cs="Arial"/>
                <w:color w:val="7030A0"/>
              </w:rPr>
            </w:pPr>
            <w:r w:rsidRPr="00B112BC">
              <w:rPr>
                <w:rFonts w:ascii="Arial" w:hAnsi="Arial" w:cs="Arial"/>
                <w:color w:val="7030A0"/>
              </w:rPr>
              <w:t>T</w:t>
            </w:r>
            <w:r w:rsidR="00FA5B23" w:rsidRPr="00B112BC">
              <w:rPr>
                <w:rFonts w:ascii="Arial" w:hAnsi="Arial" w:cs="Arial"/>
                <w:color w:val="7030A0"/>
              </w:rPr>
              <w:t xml:space="preserve">he lack of a dedicated sleeping area is </w:t>
            </w:r>
            <w:r w:rsidR="00FA5B23" w:rsidRPr="00B112BC">
              <w:rPr>
                <w:rFonts w:ascii="Arial" w:hAnsi="Arial" w:cs="Arial"/>
                <w:color w:val="7030A0"/>
                <w:u w:val="single"/>
              </w:rPr>
              <w:t>not</w:t>
            </w:r>
            <w:r w:rsidR="00FA5B23" w:rsidRPr="00B112BC">
              <w:rPr>
                <w:rFonts w:ascii="Arial" w:hAnsi="Arial" w:cs="Arial"/>
                <w:color w:val="7030A0"/>
              </w:rPr>
              <w:t xml:space="preserve"> a reason to discharge a person or transfer them to a medical or withdrawal management facility so that they are not with other patients. Providers have autonomy to determine how to </w:t>
            </w:r>
            <w:r w:rsidR="00DB53FB">
              <w:rPr>
                <w:rFonts w:ascii="Arial" w:hAnsi="Arial" w:cs="Arial"/>
                <w:color w:val="7030A0"/>
              </w:rPr>
              <w:t xml:space="preserve">best serve patients who have recently used </w:t>
            </w:r>
            <w:r w:rsidR="00855CC4">
              <w:rPr>
                <w:rFonts w:ascii="Arial" w:hAnsi="Arial" w:cs="Arial"/>
                <w:color w:val="7030A0"/>
              </w:rPr>
              <w:t xml:space="preserve">an </w:t>
            </w:r>
            <w:proofErr w:type="gramStart"/>
            <w:r w:rsidR="00855CC4">
              <w:rPr>
                <w:rFonts w:ascii="Arial" w:hAnsi="Arial" w:cs="Arial"/>
                <w:color w:val="7030A0"/>
              </w:rPr>
              <w:t>intoxicant</w:t>
            </w:r>
            <w:proofErr w:type="gramEnd"/>
            <w:r w:rsidR="00FA5B23" w:rsidRPr="00B112BC">
              <w:rPr>
                <w:rFonts w:ascii="Arial" w:hAnsi="Arial" w:cs="Arial"/>
                <w:color w:val="7030A0"/>
              </w:rPr>
              <w:t xml:space="preserve"> but it is necessary that whenever a patient can be accommodated within the program it should be done so that there is not an opportunity for them to not return to the program when they are already vulnerable to continued use</w:t>
            </w:r>
            <w:r w:rsidR="57FAB792" w:rsidRPr="00B112BC">
              <w:rPr>
                <w:rFonts w:ascii="Arial" w:hAnsi="Arial" w:cs="Arial"/>
                <w:color w:val="7030A0"/>
              </w:rPr>
              <w:t>. Options to create separate space</w:t>
            </w:r>
            <w:r w:rsidR="2FE657B3" w:rsidRPr="00B112BC">
              <w:rPr>
                <w:rFonts w:ascii="Arial" w:hAnsi="Arial" w:cs="Arial"/>
                <w:color w:val="7030A0"/>
              </w:rPr>
              <w:t xml:space="preserve"> without requiring construction</w:t>
            </w:r>
            <w:r w:rsidR="57FAB792" w:rsidRPr="00B112BC">
              <w:rPr>
                <w:rFonts w:ascii="Arial" w:hAnsi="Arial" w:cs="Arial"/>
                <w:color w:val="7030A0"/>
              </w:rPr>
              <w:t xml:space="preserve"> </w:t>
            </w:r>
            <w:r w:rsidR="27CABF98" w:rsidRPr="00B112BC">
              <w:rPr>
                <w:rFonts w:ascii="Arial" w:hAnsi="Arial" w:cs="Arial"/>
                <w:color w:val="7030A0"/>
              </w:rPr>
              <w:t xml:space="preserve">or other capital investments </w:t>
            </w:r>
            <w:r w:rsidR="57FAB792" w:rsidRPr="00B112BC">
              <w:rPr>
                <w:rFonts w:ascii="Arial" w:hAnsi="Arial" w:cs="Arial"/>
                <w:color w:val="7030A0"/>
              </w:rPr>
              <w:t xml:space="preserve">include things </w:t>
            </w:r>
            <w:r w:rsidR="199D8064" w:rsidRPr="00B112BC">
              <w:rPr>
                <w:rFonts w:ascii="Arial" w:hAnsi="Arial" w:cs="Arial"/>
                <w:color w:val="7030A0"/>
              </w:rPr>
              <w:t xml:space="preserve">such as </w:t>
            </w:r>
            <w:r w:rsidR="57FAB792" w:rsidRPr="00B112BC">
              <w:rPr>
                <w:rFonts w:ascii="Arial" w:hAnsi="Arial" w:cs="Arial"/>
                <w:color w:val="7030A0"/>
              </w:rPr>
              <w:t>partitions</w:t>
            </w:r>
            <w:r w:rsidR="44FB9E32" w:rsidRPr="00B112BC">
              <w:rPr>
                <w:rFonts w:ascii="Arial" w:hAnsi="Arial" w:cs="Arial"/>
                <w:color w:val="7030A0"/>
              </w:rPr>
              <w:t xml:space="preserve"> (</w:t>
            </w:r>
            <w:proofErr w:type="gramStart"/>
            <w:r w:rsidR="44FB9E32" w:rsidRPr="00B112BC">
              <w:rPr>
                <w:rFonts w:ascii="Arial" w:hAnsi="Arial" w:cs="Arial"/>
                <w:color w:val="7030A0"/>
              </w:rPr>
              <w:t>similar to</w:t>
            </w:r>
            <w:proofErr w:type="gramEnd"/>
            <w:r w:rsidR="44FB9E32" w:rsidRPr="00B112BC">
              <w:rPr>
                <w:rFonts w:ascii="Arial" w:hAnsi="Arial" w:cs="Arial"/>
                <w:color w:val="7030A0"/>
              </w:rPr>
              <w:t xml:space="preserve"> what was used during the pandemic)</w:t>
            </w:r>
            <w:r w:rsidR="57FAB792" w:rsidRPr="00B112BC">
              <w:rPr>
                <w:rFonts w:ascii="Arial" w:hAnsi="Arial" w:cs="Arial"/>
                <w:color w:val="7030A0"/>
              </w:rPr>
              <w:t>, other barriers</w:t>
            </w:r>
            <w:r w:rsidR="53C013BF" w:rsidRPr="00B112BC">
              <w:rPr>
                <w:rFonts w:ascii="Arial" w:hAnsi="Arial" w:cs="Arial"/>
                <w:color w:val="7030A0"/>
              </w:rPr>
              <w:t>/furniture</w:t>
            </w:r>
            <w:r w:rsidR="57FAB792" w:rsidRPr="00B112BC">
              <w:rPr>
                <w:rFonts w:ascii="Arial" w:hAnsi="Arial" w:cs="Arial"/>
                <w:color w:val="7030A0"/>
              </w:rPr>
              <w:t>, sound machines</w:t>
            </w:r>
            <w:r w:rsidR="1E11CDA0" w:rsidRPr="00B112BC">
              <w:rPr>
                <w:rFonts w:ascii="Arial" w:hAnsi="Arial" w:cs="Arial"/>
                <w:color w:val="7030A0"/>
              </w:rPr>
              <w:t xml:space="preserve"> to reduce noise disruption</w:t>
            </w:r>
            <w:r w:rsidR="57FAB792" w:rsidRPr="00B112BC">
              <w:rPr>
                <w:rFonts w:ascii="Arial" w:hAnsi="Arial" w:cs="Arial"/>
                <w:color w:val="7030A0"/>
              </w:rPr>
              <w:t xml:space="preserve">, etc. </w:t>
            </w:r>
          </w:p>
        </w:tc>
      </w:tr>
      <w:tr w:rsidR="00A24031" w:rsidRPr="00DB05A7" w14:paraId="3B1500E7" w14:textId="77777777" w:rsidTr="007816A2">
        <w:trPr>
          <w:trHeight w:val="989"/>
        </w:trPr>
        <w:tc>
          <w:tcPr>
            <w:tcW w:w="831" w:type="dxa"/>
            <w:vMerge w:val="restart"/>
            <w:shd w:val="clear" w:color="auto" w:fill="FFFFFF" w:themeFill="background1"/>
            <w:vAlign w:val="center"/>
          </w:tcPr>
          <w:p w14:paraId="7B6D277C" w14:textId="2FD07104" w:rsidR="00A24031" w:rsidRPr="00DB05A7" w:rsidRDefault="00A24031" w:rsidP="007816A2">
            <w:pPr>
              <w:ind w:left="69"/>
              <w:jc w:val="center"/>
              <w:rPr>
                <w:rFonts w:ascii="Arial" w:hAnsi="Arial" w:cs="Arial"/>
              </w:rPr>
            </w:pPr>
            <w:r>
              <w:rPr>
                <w:rFonts w:ascii="Arial" w:hAnsi="Arial" w:cs="Arial"/>
              </w:rPr>
              <w:t>3</w:t>
            </w:r>
          </w:p>
        </w:tc>
        <w:tc>
          <w:tcPr>
            <w:tcW w:w="1869" w:type="dxa"/>
            <w:vMerge w:val="restart"/>
            <w:shd w:val="clear" w:color="auto" w:fill="FFFFFF" w:themeFill="background1"/>
            <w:vAlign w:val="center"/>
          </w:tcPr>
          <w:p w14:paraId="2590AD85" w14:textId="188C1630" w:rsidR="00A24031" w:rsidRPr="00DB05A7" w:rsidRDefault="00A24031" w:rsidP="007816A2">
            <w:pPr>
              <w:rPr>
                <w:rFonts w:ascii="Arial" w:hAnsi="Arial" w:cs="Arial"/>
                <w:i/>
                <w:iCs/>
              </w:rPr>
            </w:pPr>
            <w:r w:rsidRPr="00DB05A7">
              <w:rPr>
                <w:rFonts w:ascii="Arial" w:hAnsi="Arial" w:cs="Arial"/>
                <w:i/>
                <w:iCs/>
              </w:rPr>
              <w:t>Procedures. III. Discharge Determination and Transitions. A.</w:t>
            </w:r>
          </w:p>
        </w:tc>
        <w:tc>
          <w:tcPr>
            <w:tcW w:w="4497" w:type="dxa"/>
            <w:vMerge w:val="restart"/>
            <w:shd w:val="clear" w:color="auto" w:fill="FFFFFF" w:themeFill="background1"/>
            <w:vAlign w:val="center"/>
          </w:tcPr>
          <w:p w14:paraId="3A5D8954" w14:textId="630B15BD" w:rsidR="00A24031" w:rsidRPr="00DB05A7" w:rsidRDefault="00A24031" w:rsidP="007816A2">
            <w:pPr>
              <w:rPr>
                <w:rFonts w:ascii="Arial" w:hAnsi="Arial" w:cs="Arial"/>
                <w:color w:val="0070C0"/>
              </w:rPr>
            </w:pPr>
            <w:r w:rsidRPr="00A808AD">
              <w:rPr>
                <w:rFonts w:ascii="Arial" w:hAnsi="Arial" w:cs="Arial"/>
                <w:color w:val="000000" w:themeColor="text1"/>
              </w:rPr>
              <w:t>Not included</w:t>
            </w:r>
          </w:p>
        </w:tc>
        <w:tc>
          <w:tcPr>
            <w:tcW w:w="5403" w:type="dxa"/>
            <w:shd w:val="clear" w:color="auto" w:fill="FFFFFF" w:themeFill="background1"/>
            <w:vAlign w:val="center"/>
          </w:tcPr>
          <w:p w14:paraId="316A3654" w14:textId="5245B2FD" w:rsidR="00A24031" w:rsidRPr="003948C3" w:rsidRDefault="00A24031" w:rsidP="007816A2">
            <w:pPr>
              <w:rPr>
                <w:rFonts w:ascii="Arial" w:hAnsi="Arial" w:cs="Arial"/>
                <w:b/>
                <w:bCs/>
              </w:rPr>
            </w:pPr>
            <w:r w:rsidRPr="003948C3">
              <w:rPr>
                <w:rFonts w:ascii="Arial" w:hAnsi="Arial" w:cs="Arial"/>
              </w:rPr>
              <w:t>Dischargeable offenses – violence – physical and verbal threats</w:t>
            </w:r>
          </w:p>
        </w:tc>
        <w:tc>
          <w:tcPr>
            <w:tcW w:w="5861" w:type="dxa"/>
            <w:vMerge w:val="restart"/>
            <w:shd w:val="clear" w:color="auto" w:fill="E7E6E6" w:themeFill="background2"/>
            <w:vAlign w:val="center"/>
          </w:tcPr>
          <w:p w14:paraId="52B3140C" w14:textId="46F6AEDF" w:rsidR="00A24031" w:rsidRPr="00B112BC" w:rsidRDefault="008036AF" w:rsidP="007816A2">
            <w:pPr>
              <w:rPr>
                <w:rFonts w:ascii="Arial" w:hAnsi="Arial" w:cs="Arial"/>
                <w:color w:val="7030A0"/>
              </w:rPr>
            </w:pPr>
            <w:r>
              <w:rPr>
                <w:rFonts w:ascii="Arial" w:hAnsi="Arial" w:cs="Arial"/>
                <w:color w:val="7030A0"/>
              </w:rPr>
              <w:t>These edits were not accepted</w:t>
            </w:r>
            <w:r w:rsidR="00A24031" w:rsidRPr="00B112BC">
              <w:rPr>
                <w:rFonts w:ascii="Arial" w:hAnsi="Arial" w:cs="Arial"/>
                <w:color w:val="7030A0"/>
              </w:rPr>
              <w:t xml:space="preserve"> – Providers are required to include other agency-specific instructions and requirements to th</w:t>
            </w:r>
            <w:r w:rsidR="008F4CD0" w:rsidRPr="00B112BC">
              <w:rPr>
                <w:rFonts w:ascii="Arial" w:hAnsi="Arial" w:cs="Arial"/>
                <w:color w:val="7030A0"/>
              </w:rPr>
              <w:t>eir discharge</w:t>
            </w:r>
            <w:r w:rsidR="00A24031" w:rsidRPr="00B112BC">
              <w:rPr>
                <w:rFonts w:ascii="Arial" w:hAnsi="Arial" w:cs="Arial"/>
                <w:color w:val="7030A0"/>
              </w:rPr>
              <w:t xml:space="preserve"> policy and procedure</w:t>
            </w:r>
            <w:r w:rsidR="008F4CD0" w:rsidRPr="00B112BC">
              <w:rPr>
                <w:rFonts w:ascii="Arial" w:hAnsi="Arial" w:cs="Arial"/>
                <w:color w:val="7030A0"/>
              </w:rPr>
              <w:t xml:space="preserve"> which may include this information</w:t>
            </w:r>
            <w:r w:rsidR="00A24031" w:rsidRPr="00B112BC">
              <w:rPr>
                <w:rFonts w:ascii="Arial" w:hAnsi="Arial" w:cs="Arial"/>
                <w:color w:val="7030A0"/>
              </w:rPr>
              <w:t>, provided it is not in conflict</w:t>
            </w:r>
            <w:r w:rsidR="008F4CD0" w:rsidRPr="00B112BC">
              <w:rPr>
                <w:rFonts w:ascii="Arial" w:hAnsi="Arial" w:cs="Arial"/>
                <w:color w:val="7030A0"/>
              </w:rPr>
              <w:t xml:space="preserve"> with the </w:t>
            </w:r>
            <w:r w:rsidR="0013159A" w:rsidRPr="00B112BC">
              <w:rPr>
                <w:rFonts w:ascii="Arial" w:hAnsi="Arial" w:cs="Arial"/>
                <w:color w:val="7030A0"/>
              </w:rPr>
              <w:t>R95 text</w:t>
            </w:r>
            <w:r w:rsidR="00A24031" w:rsidRPr="00B112BC">
              <w:rPr>
                <w:rFonts w:ascii="Arial" w:hAnsi="Arial" w:cs="Arial"/>
                <w:color w:val="7030A0"/>
              </w:rPr>
              <w:t xml:space="preserve">. </w:t>
            </w:r>
          </w:p>
        </w:tc>
      </w:tr>
      <w:tr w:rsidR="00A24031" w:rsidRPr="00DB05A7" w14:paraId="24E43476" w14:textId="77777777" w:rsidTr="30F8A8FD">
        <w:trPr>
          <w:trHeight w:val="989"/>
        </w:trPr>
        <w:tc>
          <w:tcPr>
            <w:tcW w:w="831" w:type="dxa"/>
            <w:vMerge/>
            <w:vAlign w:val="center"/>
          </w:tcPr>
          <w:p w14:paraId="15524434" w14:textId="530A1ABC" w:rsidR="00A24031" w:rsidRDefault="00A24031" w:rsidP="007816A2">
            <w:pPr>
              <w:ind w:left="69"/>
              <w:jc w:val="center"/>
              <w:rPr>
                <w:rFonts w:ascii="Arial" w:hAnsi="Arial" w:cs="Arial"/>
              </w:rPr>
            </w:pPr>
          </w:p>
        </w:tc>
        <w:tc>
          <w:tcPr>
            <w:tcW w:w="1869" w:type="dxa"/>
            <w:vMerge/>
            <w:vAlign w:val="center"/>
          </w:tcPr>
          <w:p w14:paraId="100F4986" w14:textId="43454237" w:rsidR="00A24031" w:rsidRPr="00DB05A7" w:rsidRDefault="00A24031" w:rsidP="007816A2">
            <w:pPr>
              <w:rPr>
                <w:rFonts w:ascii="Arial" w:hAnsi="Arial" w:cs="Arial"/>
                <w:i/>
                <w:iCs/>
              </w:rPr>
            </w:pPr>
          </w:p>
        </w:tc>
        <w:tc>
          <w:tcPr>
            <w:tcW w:w="4497" w:type="dxa"/>
            <w:vMerge/>
            <w:vAlign w:val="center"/>
          </w:tcPr>
          <w:p w14:paraId="358449DC" w14:textId="5DD158B7" w:rsidR="00A24031" w:rsidRDefault="00A24031" w:rsidP="007816A2">
            <w:pPr>
              <w:rPr>
                <w:rFonts w:ascii="Arial" w:hAnsi="Arial" w:cs="Arial"/>
                <w:color w:val="0070C0"/>
              </w:rPr>
            </w:pPr>
          </w:p>
        </w:tc>
        <w:tc>
          <w:tcPr>
            <w:tcW w:w="5403" w:type="dxa"/>
            <w:shd w:val="clear" w:color="auto" w:fill="FFFFFF" w:themeFill="background1"/>
            <w:vAlign w:val="center"/>
          </w:tcPr>
          <w:p w14:paraId="2F124EE5" w14:textId="2B29995D" w:rsidR="00A24031" w:rsidRPr="003948C3" w:rsidRDefault="00A24031" w:rsidP="007816A2">
            <w:pPr>
              <w:rPr>
                <w:rFonts w:ascii="Arial" w:hAnsi="Arial" w:cs="Arial"/>
              </w:rPr>
            </w:pPr>
            <w:r w:rsidRPr="003948C3">
              <w:rPr>
                <w:rFonts w:ascii="Arial" w:hAnsi="Arial" w:cs="Arial"/>
              </w:rPr>
              <w:t>Psychotic and bipolar instability – when to hospitalize for stabilization and due to disruption of services for other clients</w:t>
            </w:r>
          </w:p>
        </w:tc>
        <w:tc>
          <w:tcPr>
            <w:tcW w:w="5861" w:type="dxa"/>
            <w:vMerge/>
            <w:vAlign w:val="center"/>
          </w:tcPr>
          <w:p w14:paraId="6C697617" w14:textId="617EC57A" w:rsidR="00A24031" w:rsidRPr="00B112BC" w:rsidRDefault="00A24031" w:rsidP="007816A2">
            <w:pPr>
              <w:rPr>
                <w:rFonts w:ascii="Arial" w:hAnsi="Arial" w:cs="Arial"/>
                <w:color w:val="7030A0"/>
              </w:rPr>
            </w:pPr>
          </w:p>
        </w:tc>
      </w:tr>
      <w:tr w:rsidR="007816A2" w:rsidRPr="00DB05A7" w14:paraId="2E3CD0C0" w14:textId="77777777" w:rsidTr="00917B24">
        <w:trPr>
          <w:trHeight w:val="2420"/>
        </w:trPr>
        <w:tc>
          <w:tcPr>
            <w:tcW w:w="831" w:type="dxa"/>
            <w:vAlign w:val="center"/>
          </w:tcPr>
          <w:p w14:paraId="54164E8F" w14:textId="7B6AEE7E" w:rsidR="002B07EC" w:rsidRPr="00DB05A7" w:rsidRDefault="002B07EC" w:rsidP="007816A2">
            <w:pPr>
              <w:ind w:left="69"/>
              <w:jc w:val="center"/>
              <w:rPr>
                <w:rFonts w:ascii="Arial" w:hAnsi="Arial" w:cs="Arial"/>
              </w:rPr>
            </w:pPr>
            <w:r w:rsidRPr="00DB05A7">
              <w:rPr>
                <w:rFonts w:ascii="Arial" w:hAnsi="Arial" w:cs="Arial"/>
              </w:rPr>
              <w:t>4</w:t>
            </w:r>
          </w:p>
        </w:tc>
        <w:tc>
          <w:tcPr>
            <w:tcW w:w="1869" w:type="dxa"/>
            <w:vAlign w:val="center"/>
          </w:tcPr>
          <w:p w14:paraId="76D0A281" w14:textId="62EAC982" w:rsidR="002B07EC" w:rsidRPr="00DB05A7" w:rsidRDefault="002B07EC" w:rsidP="007816A2">
            <w:pPr>
              <w:rPr>
                <w:rFonts w:ascii="Arial" w:hAnsi="Arial" w:cs="Arial"/>
                <w:i/>
                <w:iCs/>
              </w:rPr>
            </w:pPr>
            <w:r w:rsidRPr="00DB05A7">
              <w:rPr>
                <w:rFonts w:ascii="Arial" w:hAnsi="Arial" w:cs="Arial"/>
                <w:i/>
                <w:iCs/>
              </w:rPr>
              <w:t>IIV. Same Day Admissions</w:t>
            </w:r>
          </w:p>
        </w:tc>
        <w:tc>
          <w:tcPr>
            <w:tcW w:w="4497" w:type="dxa"/>
            <w:vAlign w:val="center"/>
          </w:tcPr>
          <w:p w14:paraId="3CF737E8" w14:textId="7BFA36A9" w:rsidR="002B07EC" w:rsidRPr="00DB05A7" w:rsidRDefault="002B07EC" w:rsidP="007816A2">
            <w:pPr>
              <w:rPr>
                <w:rFonts w:ascii="Arial" w:hAnsi="Arial" w:cs="Arial"/>
                <w:color w:val="0070C0"/>
              </w:rPr>
            </w:pPr>
            <w:r w:rsidRPr="00DB05A7">
              <w:rPr>
                <w:rFonts w:ascii="Arial" w:hAnsi="Arial" w:cs="Arial"/>
                <w:color w:val="0070C0"/>
              </w:rPr>
              <w:t>Same Day Admissions: Every effort will be made to offer individuals same-day intake and admission appointments (e.g., establishing flex in counselor and clinician schedules to accommodate same-day appointments, utilizing empty slots and no-shows to schedule appointments, etc.) to better ensure that those who reach out for care successfully connect with services.</w:t>
            </w:r>
          </w:p>
        </w:tc>
        <w:tc>
          <w:tcPr>
            <w:tcW w:w="5403" w:type="dxa"/>
            <w:vAlign w:val="center"/>
          </w:tcPr>
          <w:p w14:paraId="6CD534A0" w14:textId="77777777" w:rsidR="002B07EC" w:rsidRDefault="002B07EC" w:rsidP="007816A2">
            <w:pPr>
              <w:rPr>
                <w:rFonts w:ascii="Arial" w:hAnsi="Arial" w:cs="Arial"/>
                <w:strike/>
              </w:rPr>
            </w:pPr>
            <w:r w:rsidRPr="00DB05A7">
              <w:rPr>
                <w:rFonts w:ascii="Arial" w:hAnsi="Arial" w:cs="Arial"/>
                <w:b/>
                <w:bCs/>
              </w:rPr>
              <w:t>(REMOVE LINE)</w:t>
            </w:r>
            <w:r w:rsidRPr="00DB05A7">
              <w:rPr>
                <w:rFonts w:ascii="Arial" w:hAnsi="Arial" w:cs="Arial"/>
              </w:rPr>
              <w:t xml:space="preserve"> </w:t>
            </w:r>
            <w:r w:rsidRPr="00DB05A7">
              <w:rPr>
                <w:rFonts w:ascii="Arial" w:hAnsi="Arial" w:cs="Arial"/>
                <w:strike/>
              </w:rPr>
              <w:t>Same Day Admissions: Every effort will be made to offer individuals same-day intake and admission appointments (e.g., establishing flex in counselor and clinician schedules to accommodate same-day appointments, utilizing empty slots and no-shows to schedule appointments, etc.) to better ensure that those who reach out for care successfully connect with services.</w:t>
            </w:r>
          </w:p>
          <w:p w14:paraId="16BF6445" w14:textId="77777777" w:rsidR="0064136E" w:rsidRPr="00917B24" w:rsidRDefault="0064136E" w:rsidP="007816A2">
            <w:pPr>
              <w:rPr>
                <w:rFonts w:ascii="Arial" w:hAnsi="Arial" w:cs="Arial"/>
                <w:strike/>
                <w:sz w:val="10"/>
                <w:szCs w:val="10"/>
              </w:rPr>
            </w:pPr>
          </w:p>
          <w:p w14:paraId="7328A1A9" w14:textId="0BC2F06A" w:rsidR="0064136E" w:rsidRPr="00DB05A7" w:rsidRDefault="00E94B8D" w:rsidP="007816A2">
            <w:pPr>
              <w:rPr>
                <w:rFonts w:ascii="Arial" w:hAnsi="Arial" w:cs="Arial"/>
              </w:rPr>
            </w:pPr>
            <w:r>
              <w:rPr>
                <w:rFonts w:ascii="Arial" w:hAnsi="Arial" w:cs="Arial"/>
              </w:rPr>
              <w:t>U</w:t>
            </w:r>
            <w:r w:rsidR="0064136E" w:rsidRPr="00DB05A7">
              <w:rPr>
                <w:rFonts w:ascii="Arial" w:hAnsi="Arial" w:cs="Arial"/>
              </w:rPr>
              <w:t xml:space="preserve">nsure how this </w:t>
            </w:r>
            <w:r w:rsidR="0064136E">
              <w:rPr>
                <w:rFonts w:ascii="Arial" w:hAnsi="Arial" w:cs="Arial"/>
              </w:rPr>
              <w:t>is</w:t>
            </w:r>
            <w:r w:rsidR="0064136E" w:rsidRPr="00DB05A7">
              <w:rPr>
                <w:rFonts w:ascii="Arial" w:hAnsi="Arial" w:cs="Arial"/>
              </w:rPr>
              <w:t xml:space="preserve"> related to Discharge policy</w:t>
            </w:r>
            <w:r>
              <w:rPr>
                <w:rFonts w:ascii="Arial" w:hAnsi="Arial" w:cs="Arial"/>
              </w:rPr>
              <w:t>?</w:t>
            </w:r>
          </w:p>
        </w:tc>
        <w:tc>
          <w:tcPr>
            <w:tcW w:w="5861" w:type="dxa"/>
            <w:shd w:val="clear" w:color="auto" w:fill="E7E6E6" w:themeFill="background2"/>
          </w:tcPr>
          <w:p w14:paraId="78CEBD30" w14:textId="602BABF1" w:rsidR="002B07EC" w:rsidRPr="00B112BC" w:rsidRDefault="006E3888" w:rsidP="007816A2">
            <w:pPr>
              <w:rPr>
                <w:rFonts w:ascii="Arial" w:hAnsi="Arial" w:cs="Arial"/>
                <w:color w:val="7030A0"/>
              </w:rPr>
            </w:pPr>
            <w:r w:rsidRPr="00B112BC">
              <w:rPr>
                <w:rFonts w:ascii="Arial" w:hAnsi="Arial" w:cs="Arial"/>
                <w:color w:val="7030A0"/>
              </w:rPr>
              <w:t>Deleted</w:t>
            </w:r>
          </w:p>
        </w:tc>
      </w:tr>
      <w:tr w:rsidR="001D2B4D" w:rsidRPr="00DB05A7" w14:paraId="00F8926E" w14:textId="77777777" w:rsidTr="003948C3">
        <w:trPr>
          <w:trHeight w:val="3134"/>
        </w:trPr>
        <w:tc>
          <w:tcPr>
            <w:tcW w:w="831" w:type="dxa"/>
            <w:vMerge w:val="restart"/>
            <w:vAlign w:val="center"/>
          </w:tcPr>
          <w:p w14:paraId="40E97143" w14:textId="020A2566" w:rsidR="001D2B4D" w:rsidRPr="00DB05A7" w:rsidRDefault="001D2B4D" w:rsidP="007816A2">
            <w:pPr>
              <w:ind w:left="69"/>
              <w:jc w:val="center"/>
              <w:rPr>
                <w:rFonts w:ascii="Arial" w:hAnsi="Arial" w:cs="Arial"/>
              </w:rPr>
            </w:pPr>
            <w:r w:rsidRPr="00DB05A7">
              <w:rPr>
                <w:rFonts w:ascii="Arial" w:hAnsi="Arial" w:cs="Arial"/>
              </w:rPr>
              <w:lastRenderedPageBreak/>
              <w:t>4</w:t>
            </w:r>
          </w:p>
        </w:tc>
        <w:tc>
          <w:tcPr>
            <w:tcW w:w="1869" w:type="dxa"/>
            <w:vMerge w:val="restart"/>
            <w:vAlign w:val="center"/>
          </w:tcPr>
          <w:p w14:paraId="56AADDC5" w14:textId="3F4CF024" w:rsidR="001D2B4D" w:rsidRPr="00DB05A7" w:rsidRDefault="001D2B4D" w:rsidP="007816A2">
            <w:pPr>
              <w:rPr>
                <w:rFonts w:ascii="Arial" w:hAnsi="Arial" w:cs="Arial"/>
                <w:i/>
                <w:iCs/>
              </w:rPr>
            </w:pPr>
            <w:r w:rsidRPr="00DB05A7">
              <w:rPr>
                <w:rFonts w:ascii="Arial" w:hAnsi="Arial" w:cs="Arial"/>
                <w:i/>
                <w:iCs/>
              </w:rPr>
              <w:t xml:space="preserve">V. Medi-Cal Enrollment Status. A. </w:t>
            </w:r>
          </w:p>
        </w:tc>
        <w:tc>
          <w:tcPr>
            <w:tcW w:w="4497" w:type="dxa"/>
            <w:vMerge w:val="restart"/>
            <w:vAlign w:val="center"/>
          </w:tcPr>
          <w:p w14:paraId="740AC4E0" w14:textId="326E766A" w:rsidR="001D2B4D" w:rsidRPr="00DB05A7" w:rsidRDefault="001D2B4D" w:rsidP="007816A2">
            <w:pPr>
              <w:rPr>
                <w:rFonts w:ascii="Arial" w:hAnsi="Arial" w:cs="Arial"/>
                <w:color w:val="0070C0"/>
              </w:rPr>
            </w:pPr>
            <w:r w:rsidRPr="00DB05A7">
              <w:rPr>
                <w:rFonts w:ascii="Arial" w:hAnsi="Arial" w:cs="Arial"/>
                <w:color w:val="0070C0"/>
              </w:rPr>
              <w:t>A lapse in Medi-Cal enrollment for patients who remain eligible for Medi-Cal is not an allowable reason for discharge. Care coordination services must be provided to support a patient with continued enrollment. This is not a responsibility of the patient, their family, or other service providers.</w:t>
            </w:r>
          </w:p>
        </w:tc>
        <w:tc>
          <w:tcPr>
            <w:tcW w:w="5403" w:type="dxa"/>
            <w:vAlign w:val="center"/>
          </w:tcPr>
          <w:p w14:paraId="5C2FBE4F" w14:textId="303D51A8" w:rsidR="001D2B4D" w:rsidRPr="00DB05A7" w:rsidRDefault="001D2B4D" w:rsidP="007816A2">
            <w:pPr>
              <w:rPr>
                <w:rFonts w:ascii="Arial" w:hAnsi="Arial" w:cs="Arial"/>
              </w:rPr>
            </w:pPr>
            <w:r w:rsidRPr="00DB05A7">
              <w:rPr>
                <w:rFonts w:ascii="Arial" w:hAnsi="Arial" w:cs="Arial"/>
              </w:rPr>
              <w:t xml:space="preserve">A lapse in Medi-Cal enrollment for patients who remain eligible for Medi-Cal is not an allowable reason for discharge. </w:t>
            </w:r>
            <w:r w:rsidRPr="0090576D">
              <w:rPr>
                <w:rFonts w:ascii="Arial" w:hAnsi="Arial" w:cs="Arial"/>
                <w:b/>
                <w:bCs/>
                <w:highlight w:val="yellow"/>
              </w:rPr>
              <w:t>SAPC must ensure provider payments in such cases.</w:t>
            </w:r>
            <w:r>
              <w:rPr>
                <w:rFonts w:ascii="Arial" w:hAnsi="Arial" w:cs="Arial"/>
              </w:rPr>
              <w:t xml:space="preserve"> </w:t>
            </w:r>
            <w:r w:rsidRPr="00DB05A7">
              <w:rPr>
                <w:rFonts w:ascii="Arial" w:hAnsi="Arial" w:cs="Arial"/>
              </w:rPr>
              <w:t xml:space="preserve">Care coordination services must be provided to support a patient with continued enrollment. This is not </w:t>
            </w:r>
            <w:r w:rsidRPr="00DB05A7">
              <w:rPr>
                <w:rFonts w:ascii="Arial" w:hAnsi="Arial" w:cs="Arial"/>
                <w:b/>
                <w:bCs/>
                <w:highlight w:val="yellow"/>
              </w:rPr>
              <w:t>solely</w:t>
            </w:r>
            <w:r w:rsidRPr="00DB05A7">
              <w:rPr>
                <w:rFonts w:ascii="Arial" w:hAnsi="Arial" w:cs="Arial"/>
              </w:rPr>
              <w:t xml:space="preserve"> a responsibility of the patient, their family, or other service providers.</w:t>
            </w:r>
          </w:p>
        </w:tc>
        <w:tc>
          <w:tcPr>
            <w:tcW w:w="5861" w:type="dxa"/>
            <w:shd w:val="clear" w:color="auto" w:fill="E7E6E6" w:themeFill="background2"/>
            <w:vAlign w:val="center"/>
          </w:tcPr>
          <w:p w14:paraId="2EA4BD22" w14:textId="58CEF2BF" w:rsidR="001D2B4D" w:rsidRPr="00B112BC" w:rsidRDefault="008036AF" w:rsidP="007816A2">
            <w:pPr>
              <w:rPr>
                <w:rFonts w:ascii="Arial" w:hAnsi="Arial" w:cs="Arial"/>
                <w:color w:val="7030A0"/>
              </w:rPr>
            </w:pPr>
            <w:r>
              <w:rPr>
                <w:rFonts w:ascii="Arial" w:hAnsi="Arial" w:cs="Arial"/>
                <w:color w:val="7030A0"/>
              </w:rPr>
              <w:t>These edits were not accepted</w:t>
            </w:r>
            <w:r w:rsidR="004B6C81" w:rsidRPr="00B112BC">
              <w:rPr>
                <w:rFonts w:ascii="Arial" w:hAnsi="Arial" w:cs="Arial"/>
                <w:color w:val="7030A0"/>
              </w:rPr>
              <w:t>.</w:t>
            </w:r>
            <w:r w:rsidR="008D2828" w:rsidRPr="00B112BC">
              <w:rPr>
                <w:rFonts w:ascii="Arial" w:hAnsi="Arial" w:cs="Arial"/>
                <w:color w:val="7030A0"/>
              </w:rPr>
              <w:t xml:space="preserve"> The discharge policy refers to enrolled patients. Therefore, it is a clear </w:t>
            </w:r>
            <w:r w:rsidR="004B6C81" w:rsidRPr="00B112BC">
              <w:rPr>
                <w:rFonts w:ascii="Arial" w:hAnsi="Arial" w:cs="Arial"/>
                <w:color w:val="7030A0"/>
              </w:rPr>
              <w:t xml:space="preserve">responsibility of the contractor to ensure that </w:t>
            </w:r>
            <w:r w:rsidR="009C1092" w:rsidRPr="00B112BC">
              <w:rPr>
                <w:rFonts w:ascii="Arial" w:hAnsi="Arial" w:cs="Arial"/>
                <w:color w:val="7030A0"/>
              </w:rPr>
              <w:t>they are checking Medi-Cal enrollment on a</w:t>
            </w:r>
            <w:r w:rsidR="008D2828" w:rsidRPr="00B112BC">
              <w:rPr>
                <w:rFonts w:ascii="Arial" w:hAnsi="Arial" w:cs="Arial"/>
                <w:color w:val="7030A0"/>
              </w:rPr>
              <w:t>t</w:t>
            </w:r>
            <w:r w:rsidR="009C1092" w:rsidRPr="00B112BC">
              <w:rPr>
                <w:rFonts w:ascii="Arial" w:hAnsi="Arial" w:cs="Arial"/>
                <w:color w:val="7030A0"/>
              </w:rPr>
              <w:t xml:space="preserve"> minimum</w:t>
            </w:r>
            <w:r w:rsidR="008D2828" w:rsidRPr="00B112BC">
              <w:rPr>
                <w:rFonts w:ascii="Arial" w:hAnsi="Arial" w:cs="Arial"/>
                <w:color w:val="7030A0"/>
              </w:rPr>
              <w:t xml:space="preserve"> a</w:t>
            </w:r>
            <w:r w:rsidR="009C1092" w:rsidRPr="00B112BC">
              <w:rPr>
                <w:rFonts w:ascii="Arial" w:hAnsi="Arial" w:cs="Arial"/>
                <w:color w:val="7030A0"/>
              </w:rPr>
              <w:t xml:space="preserve"> monthly basis </w:t>
            </w:r>
            <w:r w:rsidR="008D2828" w:rsidRPr="00B112BC">
              <w:rPr>
                <w:rFonts w:ascii="Arial" w:hAnsi="Arial" w:cs="Arial"/>
                <w:color w:val="7030A0"/>
              </w:rPr>
              <w:t>to ensure that claims can be processed and reimbursed by the State. The care coordination benefit is to be used to support this effort</w:t>
            </w:r>
            <w:r w:rsidR="009E71F5" w:rsidRPr="00B112BC">
              <w:rPr>
                <w:rFonts w:ascii="Arial" w:hAnsi="Arial" w:cs="Arial"/>
                <w:color w:val="7030A0"/>
              </w:rPr>
              <w:t>. Additionally</w:t>
            </w:r>
            <w:r w:rsidR="4735FF2A" w:rsidRPr="00B112BC">
              <w:rPr>
                <w:rFonts w:ascii="Arial" w:hAnsi="Arial" w:cs="Arial"/>
                <w:color w:val="7030A0"/>
              </w:rPr>
              <w:t>,</w:t>
            </w:r>
            <w:r w:rsidR="009E71F5" w:rsidRPr="00B112BC">
              <w:rPr>
                <w:rFonts w:ascii="Arial" w:hAnsi="Arial" w:cs="Arial"/>
                <w:color w:val="7030A0"/>
              </w:rPr>
              <w:t xml:space="preserve"> the fee-for-service nature of reimbursement now enables providers to redirect funds to support the cost of services for patients who lose Medi-Cal mid-</w:t>
            </w:r>
            <w:r w:rsidR="00204290" w:rsidRPr="00B112BC">
              <w:rPr>
                <w:rFonts w:ascii="Arial" w:hAnsi="Arial" w:cs="Arial"/>
                <w:color w:val="7030A0"/>
              </w:rPr>
              <w:t>treatment</w:t>
            </w:r>
            <w:r w:rsidR="009E71F5" w:rsidRPr="00B112BC">
              <w:rPr>
                <w:rFonts w:ascii="Arial" w:hAnsi="Arial" w:cs="Arial"/>
                <w:color w:val="7030A0"/>
              </w:rPr>
              <w:t xml:space="preserve"> episode and where support is not provided to assist in the </w:t>
            </w:r>
            <w:r w:rsidR="00204290" w:rsidRPr="00B112BC">
              <w:rPr>
                <w:rFonts w:ascii="Arial" w:hAnsi="Arial" w:cs="Arial"/>
                <w:color w:val="7030A0"/>
              </w:rPr>
              <w:t xml:space="preserve">renewal process. </w:t>
            </w:r>
          </w:p>
        </w:tc>
      </w:tr>
      <w:tr w:rsidR="001D2B4D" w:rsidRPr="00DB05A7" w14:paraId="6CD1D71D" w14:textId="77777777" w:rsidTr="00917B24">
        <w:trPr>
          <w:trHeight w:val="710"/>
        </w:trPr>
        <w:tc>
          <w:tcPr>
            <w:tcW w:w="831" w:type="dxa"/>
            <w:vMerge/>
            <w:vAlign w:val="center"/>
          </w:tcPr>
          <w:p w14:paraId="3F747232" w14:textId="77777777" w:rsidR="001D2B4D" w:rsidRPr="00DB05A7" w:rsidRDefault="001D2B4D" w:rsidP="007816A2">
            <w:pPr>
              <w:ind w:left="69"/>
              <w:jc w:val="center"/>
              <w:rPr>
                <w:rFonts w:ascii="Arial" w:hAnsi="Arial" w:cs="Arial"/>
              </w:rPr>
            </w:pPr>
          </w:p>
        </w:tc>
        <w:tc>
          <w:tcPr>
            <w:tcW w:w="1869" w:type="dxa"/>
            <w:vMerge/>
            <w:vAlign w:val="center"/>
          </w:tcPr>
          <w:p w14:paraId="714DB184" w14:textId="77777777" w:rsidR="001D2B4D" w:rsidRPr="00DB05A7" w:rsidRDefault="001D2B4D" w:rsidP="007816A2">
            <w:pPr>
              <w:rPr>
                <w:rFonts w:ascii="Arial" w:hAnsi="Arial" w:cs="Arial"/>
                <w:i/>
                <w:iCs/>
              </w:rPr>
            </w:pPr>
          </w:p>
        </w:tc>
        <w:tc>
          <w:tcPr>
            <w:tcW w:w="4497" w:type="dxa"/>
            <w:vMerge/>
            <w:vAlign w:val="center"/>
          </w:tcPr>
          <w:p w14:paraId="4CA00E7D" w14:textId="77777777" w:rsidR="001D2B4D" w:rsidRPr="00DB05A7" w:rsidRDefault="001D2B4D" w:rsidP="007816A2">
            <w:pPr>
              <w:rPr>
                <w:rFonts w:ascii="Arial" w:hAnsi="Arial" w:cs="Arial"/>
                <w:color w:val="0070C0"/>
              </w:rPr>
            </w:pPr>
          </w:p>
        </w:tc>
        <w:tc>
          <w:tcPr>
            <w:tcW w:w="5403" w:type="dxa"/>
            <w:vAlign w:val="center"/>
          </w:tcPr>
          <w:p w14:paraId="15975394" w14:textId="77777777" w:rsidR="001D2B4D" w:rsidRDefault="001D2B4D" w:rsidP="007816A2">
            <w:pPr>
              <w:rPr>
                <w:rFonts w:ascii="Arial" w:hAnsi="Arial" w:cs="Arial"/>
              </w:rPr>
            </w:pPr>
            <w:r w:rsidRPr="007816A2">
              <w:rPr>
                <w:rFonts w:ascii="Arial" w:hAnsi="Arial" w:cs="Arial"/>
              </w:rPr>
              <w:t>Providers need support from patient work on Medi-Cal Enrollment.</w:t>
            </w:r>
          </w:p>
          <w:p w14:paraId="577660A0" w14:textId="77777777" w:rsidR="007816A2" w:rsidRPr="007816A2" w:rsidRDefault="007816A2" w:rsidP="007816A2">
            <w:pPr>
              <w:rPr>
                <w:rFonts w:ascii="Arial" w:hAnsi="Arial" w:cs="Arial"/>
                <w:sz w:val="10"/>
                <w:szCs w:val="10"/>
              </w:rPr>
            </w:pPr>
          </w:p>
          <w:p w14:paraId="33589CDD" w14:textId="41130DC1" w:rsidR="001D2B4D" w:rsidRPr="007816A2" w:rsidRDefault="001D2B4D" w:rsidP="007816A2">
            <w:pPr>
              <w:rPr>
                <w:rFonts w:ascii="Arial" w:hAnsi="Arial" w:cs="Arial"/>
              </w:rPr>
            </w:pPr>
            <w:r w:rsidRPr="007816A2">
              <w:rPr>
                <w:rFonts w:ascii="Arial" w:hAnsi="Arial" w:cs="Arial"/>
              </w:rPr>
              <w:t>Providers cannot contact Medi-Cal online or by phone without the patient being present and being involved in that process.</w:t>
            </w:r>
          </w:p>
        </w:tc>
        <w:tc>
          <w:tcPr>
            <w:tcW w:w="5861" w:type="dxa"/>
            <w:shd w:val="clear" w:color="auto" w:fill="E7E6E6" w:themeFill="background2"/>
            <w:vAlign w:val="center"/>
          </w:tcPr>
          <w:p w14:paraId="3DB5EDF2" w14:textId="709F9127" w:rsidR="001D2B4D" w:rsidRPr="00B112BC" w:rsidRDefault="00F9133E" w:rsidP="007816A2">
            <w:pPr>
              <w:rPr>
                <w:rFonts w:ascii="Arial" w:hAnsi="Arial" w:cs="Arial"/>
                <w:color w:val="7030A0"/>
              </w:rPr>
            </w:pPr>
            <w:r w:rsidRPr="00B112BC">
              <w:rPr>
                <w:rFonts w:ascii="Arial" w:hAnsi="Arial" w:cs="Arial"/>
                <w:color w:val="7030A0"/>
              </w:rPr>
              <w:t xml:space="preserve">For technical assistance, please contact Nancy Crosby at </w:t>
            </w:r>
            <w:hyperlink r:id="rId13" w:history="1">
              <w:r w:rsidRPr="00B112BC">
                <w:rPr>
                  <w:rStyle w:val="Hyperlink"/>
                  <w:rFonts w:ascii="Arial" w:hAnsi="Arial" w:cs="Arial"/>
                  <w:color w:val="7030A0"/>
                </w:rPr>
                <w:t>ncrosby@ph.lacounty.gov</w:t>
              </w:r>
            </w:hyperlink>
            <w:r w:rsidRPr="00B112BC">
              <w:rPr>
                <w:rFonts w:ascii="Arial" w:hAnsi="Arial" w:cs="Arial"/>
                <w:color w:val="7030A0"/>
              </w:rPr>
              <w:t xml:space="preserve">. </w:t>
            </w:r>
          </w:p>
          <w:p w14:paraId="5B4DB0BC" w14:textId="77777777" w:rsidR="00F9133E" w:rsidRPr="00B112BC" w:rsidRDefault="00F9133E" w:rsidP="007816A2">
            <w:pPr>
              <w:rPr>
                <w:rFonts w:ascii="Arial" w:hAnsi="Arial" w:cs="Arial"/>
                <w:color w:val="7030A0"/>
                <w:sz w:val="10"/>
                <w:szCs w:val="10"/>
              </w:rPr>
            </w:pPr>
          </w:p>
          <w:p w14:paraId="6986A0C0" w14:textId="69089875" w:rsidR="00F9133E" w:rsidRPr="00B112BC" w:rsidRDefault="00FF59E7" w:rsidP="007816A2">
            <w:pPr>
              <w:rPr>
                <w:rFonts w:ascii="Arial" w:hAnsi="Arial" w:cs="Arial"/>
                <w:color w:val="7030A0"/>
              </w:rPr>
            </w:pPr>
            <w:r w:rsidRPr="00B112BC">
              <w:rPr>
                <w:rFonts w:ascii="Arial" w:hAnsi="Arial" w:cs="Arial"/>
                <w:color w:val="7030A0"/>
              </w:rPr>
              <w:t>To address this concern, p</w:t>
            </w:r>
            <w:r w:rsidR="00F9133E" w:rsidRPr="00B112BC">
              <w:rPr>
                <w:rFonts w:ascii="Arial" w:hAnsi="Arial" w:cs="Arial"/>
                <w:color w:val="7030A0"/>
              </w:rPr>
              <w:t xml:space="preserve">roviders can </w:t>
            </w:r>
            <w:r w:rsidR="0096713E" w:rsidRPr="00B112BC">
              <w:rPr>
                <w:rFonts w:ascii="Arial" w:hAnsi="Arial" w:cs="Arial"/>
                <w:color w:val="7030A0"/>
              </w:rPr>
              <w:t xml:space="preserve">and should </w:t>
            </w:r>
            <w:r w:rsidR="00F9133E" w:rsidRPr="00B112BC">
              <w:rPr>
                <w:rFonts w:ascii="Arial" w:hAnsi="Arial" w:cs="Arial"/>
                <w:color w:val="7030A0"/>
              </w:rPr>
              <w:t xml:space="preserve">implement processes </w:t>
            </w:r>
            <w:r w:rsidR="00B144CA" w:rsidRPr="00B112BC">
              <w:rPr>
                <w:rFonts w:ascii="Arial" w:hAnsi="Arial" w:cs="Arial"/>
                <w:color w:val="7030A0"/>
              </w:rPr>
              <w:t xml:space="preserve">to </w:t>
            </w:r>
            <w:r w:rsidR="00AB4C97" w:rsidRPr="00B112BC">
              <w:rPr>
                <w:rFonts w:ascii="Arial" w:hAnsi="Arial" w:cs="Arial"/>
                <w:color w:val="7030A0"/>
              </w:rPr>
              <w:t xml:space="preserve">ensure patients are aware that they should notify their treatment team </w:t>
            </w:r>
            <w:r w:rsidR="0096713E" w:rsidRPr="00B112BC">
              <w:rPr>
                <w:rFonts w:ascii="Arial" w:hAnsi="Arial" w:cs="Arial"/>
                <w:color w:val="7030A0"/>
              </w:rPr>
              <w:t xml:space="preserve">when they receive Medi-Cal renewal </w:t>
            </w:r>
            <w:r w:rsidR="003B4382" w:rsidRPr="00B112BC">
              <w:rPr>
                <w:rFonts w:ascii="Arial" w:hAnsi="Arial" w:cs="Arial"/>
                <w:color w:val="7030A0"/>
              </w:rPr>
              <w:t xml:space="preserve">and/or eligibility verification requests, and that the treatment team will assist </w:t>
            </w:r>
            <w:r w:rsidR="009C503C" w:rsidRPr="00B112BC">
              <w:rPr>
                <w:rFonts w:ascii="Arial" w:hAnsi="Arial" w:cs="Arial"/>
                <w:color w:val="7030A0"/>
              </w:rPr>
              <w:t xml:space="preserve">them </w:t>
            </w:r>
            <w:r w:rsidR="003B4382" w:rsidRPr="00B112BC">
              <w:rPr>
                <w:rFonts w:ascii="Arial" w:hAnsi="Arial" w:cs="Arial"/>
                <w:color w:val="7030A0"/>
              </w:rPr>
              <w:t xml:space="preserve">with this process to ensure patients maintain health benefits and the provider is able to continue billing for services. </w:t>
            </w:r>
            <w:r w:rsidR="00BD285C" w:rsidRPr="00B112BC">
              <w:rPr>
                <w:rFonts w:ascii="Arial" w:hAnsi="Arial" w:cs="Arial"/>
                <w:color w:val="7030A0"/>
              </w:rPr>
              <w:t xml:space="preserve">When this does not work, and the patient loses Medi-Cal benefits but remains eligible, </w:t>
            </w:r>
            <w:r w:rsidR="003D4F33" w:rsidRPr="00B112BC">
              <w:rPr>
                <w:rFonts w:ascii="Arial" w:hAnsi="Arial" w:cs="Arial"/>
                <w:color w:val="7030A0"/>
              </w:rPr>
              <w:t>p</w:t>
            </w:r>
            <w:r w:rsidR="00A47048" w:rsidRPr="00B112BC">
              <w:rPr>
                <w:rFonts w:ascii="Arial" w:hAnsi="Arial" w:cs="Arial"/>
                <w:color w:val="7030A0"/>
              </w:rPr>
              <w:t>roviders can and should</w:t>
            </w:r>
            <w:r w:rsidR="003D4F33" w:rsidRPr="00B112BC">
              <w:rPr>
                <w:rFonts w:ascii="Arial" w:hAnsi="Arial" w:cs="Arial"/>
                <w:color w:val="7030A0"/>
              </w:rPr>
              <w:t xml:space="preserve"> also</w:t>
            </w:r>
            <w:r w:rsidR="00A47048" w:rsidRPr="00B112BC">
              <w:rPr>
                <w:rFonts w:ascii="Arial" w:hAnsi="Arial" w:cs="Arial"/>
                <w:color w:val="7030A0"/>
              </w:rPr>
              <w:t xml:space="preserve"> implement </w:t>
            </w:r>
            <w:r w:rsidR="00B11F1E" w:rsidRPr="00B112BC">
              <w:rPr>
                <w:rFonts w:ascii="Arial" w:hAnsi="Arial" w:cs="Arial"/>
                <w:color w:val="7030A0"/>
              </w:rPr>
              <w:t xml:space="preserve">a notification system between those that </w:t>
            </w:r>
            <w:r w:rsidR="00011E8F" w:rsidRPr="00B112BC">
              <w:rPr>
                <w:rFonts w:ascii="Arial" w:hAnsi="Arial" w:cs="Arial"/>
                <w:color w:val="7030A0"/>
              </w:rPr>
              <w:t xml:space="preserve">check at minimum monthly Medi-Cal enrollment and the treatment team / primary contact to ensure the care coordination benefit is used when the patient next arrives at the facility and </w:t>
            </w:r>
            <w:r w:rsidR="00917B24" w:rsidRPr="00B112BC">
              <w:rPr>
                <w:rFonts w:ascii="Arial" w:hAnsi="Arial" w:cs="Arial"/>
                <w:color w:val="7030A0"/>
              </w:rPr>
              <w:t xml:space="preserve">prioritize reenrollment in conjunction with other needed services (e.g., group, individual). </w:t>
            </w:r>
            <w:r w:rsidR="00B144CA" w:rsidRPr="00B112BC">
              <w:rPr>
                <w:rFonts w:ascii="Arial" w:hAnsi="Arial" w:cs="Arial"/>
                <w:color w:val="7030A0"/>
              </w:rPr>
              <w:t xml:space="preserve"> </w:t>
            </w:r>
          </w:p>
        </w:tc>
      </w:tr>
      <w:tr w:rsidR="001D2B4D" w:rsidRPr="00DB05A7" w14:paraId="350026B9" w14:textId="77777777" w:rsidTr="007816A2">
        <w:trPr>
          <w:trHeight w:val="989"/>
        </w:trPr>
        <w:tc>
          <w:tcPr>
            <w:tcW w:w="831" w:type="dxa"/>
            <w:vMerge/>
            <w:vAlign w:val="center"/>
          </w:tcPr>
          <w:p w14:paraId="412375AF" w14:textId="77777777" w:rsidR="001D2B4D" w:rsidRPr="00DB05A7" w:rsidRDefault="001D2B4D" w:rsidP="007816A2">
            <w:pPr>
              <w:ind w:left="69"/>
              <w:jc w:val="center"/>
              <w:rPr>
                <w:rFonts w:ascii="Arial" w:hAnsi="Arial" w:cs="Arial"/>
              </w:rPr>
            </w:pPr>
          </w:p>
        </w:tc>
        <w:tc>
          <w:tcPr>
            <w:tcW w:w="1869" w:type="dxa"/>
            <w:vMerge/>
            <w:vAlign w:val="center"/>
          </w:tcPr>
          <w:p w14:paraId="08668821" w14:textId="77777777" w:rsidR="001D2B4D" w:rsidRPr="00DB05A7" w:rsidRDefault="001D2B4D" w:rsidP="007816A2">
            <w:pPr>
              <w:rPr>
                <w:rFonts w:ascii="Arial" w:hAnsi="Arial" w:cs="Arial"/>
                <w:i/>
                <w:iCs/>
              </w:rPr>
            </w:pPr>
          </w:p>
        </w:tc>
        <w:tc>
          <w:tcPr>
            <w:tcW w:w="4497" w:type="dxa"/>
            <w:vMerge/>
            <w:vAlign w:val="center"/>
          </w:tcPr>
          <w:p w14:paraId="60810D63" w14:textId="77777777" w:rsidR="001D2B4D" w:rsidRPr="00DB05A7" w:rsidRDefault="001D2B4D" w:rsidP="007816A2">
            <w:pPr>
              <w:rPr>
                <w:rFonts w:ascii="Arial" w:hAnsi="Arial" w:cs="Arial"/>
                <w:color w:val="0070C0"/>
              </w:rPr>
            </w:pPr>
          </w:p>
        </w:tc>
        <w:tc>
          <w:tcPr>
            <w:tcW w:w="5403" w:type="dxa"/>
            <w:vAlign w:val="center"/>
          </w:tcPr>
          <w:p w14:paraId="51EB8008" w14:textId="13EE39C4" w:rsidR="001D2B4D" w:rsidRPr="00283B2D" w:rsidRDefault="001D2B4D" w:rsidP="007816A2">
            <w:pPr>
              <w:rPr>
                <w:rFonts w:ascii="Arial" w:hAnsi="Arial" w:cs="Arial"/>
              </w:rPr>
            </w:pPr>
            <w:r w:rsidRPr="00283B2D">
              <w:rPr>
                <w:rFonts w:ascii="Arial" w:hAnsi="Arial" w:cs="Arial"/>
              </w:rPr>
              <w:t>The intention is to support patients and recognize that some patients are going to need agency support to fill out forms</w:t>
            </w:r>
          </w:p>
        </w:tc>
        <w:tc>
          <w:tcPr>
            <w:tcW w:w="5861" w:type="dxa"/>
            <w:shd w:val="clear" w:color="auto" w:fill="E7E6E6" w:themeFill="background2"/>
            <w:vAlign w:val="center"/>
          </w:tcPr>
          <w:p w14:paraId="529B906A" w14:textId="1F83393C" w:rsidR="001D2B4D" w:rsidRPr="00B112BC" w:rsidRDefault="00A64352" w:rsidP="007816A2">
            <w:pPr>
              <w:rPr>
                <w:rFonts w:ascii="Arial" w:hAnsi="Arial" w:cs="Arial"/>
                <w:color w:val="7030A0"/>
              </w:rPr>
            </w:pPr>
            <w:r w:rsidRPr="00B112BC">
              <w:rPr>
                <w:rFonts w:ascii="Arial" w:hAnsi="Arial" w:cs="Arial"/>
                <w:color w:val="7030A0"/>
              </w:rPr>
              <w:t>Agreed, see above</w:t>
            </w:r>
            <w:r w:rsidR="00D84133" w:rsidRPr="00B112BC">
              <w:rPr>
                <w:rFonts w:ascii="Arial" w:hAnsi="Arial" w:cs="Arial"/>
                <w:color w:val="7030A0"/>
              </w:rPr>
              <w:t xml:space="preserve"> regarding implementation of agency policies that can help address this and how to enhance use of care coordination to support </w:t>
            </w:r>
            <w:r w:rsidR="00F571F7" w:rsidRPr="00B112BC">
              <w:rPr>
                <w:rFonts w:ascii="Arial" w:hAnsi="Arial" w:cs="Arial"/>
                <w:color w:val="7030A0"/>
              </w:rPr>
              <w:t>completion</w:t>
            </w:r>
            <w:r w:rsidRPr="00B112BC">
              <w:rPr>
                <w:rFonts w:ascii="Arial" w:hAnsi="Arial" w:cs="Arial"/>
                <w:color w:val="7030A0"/>
              </w:rPr>
              <w:t xml:space="preserve">. </w:t>
            </w:r>
          </w:p>
        </w:tc>
      </w:tr>
      <w:tr w:rsidR="001D2B4D" w:rsidRPr="00DB05A7" w14:paraId="30F0D7B8" w14:textId="77777777" w:rsidTr="007816A2">
        <w:trPr>
          <w:trHeight w:val="989"/>
        </w:trPr>
        <w:tc>
          <w:tcPr>
            <w:tcW w:w="831" w:type="dxa"/>
            <w:vMerge/>
            <w:vAlign w:val="center"/>
          </w:tcPr>
          <w:p w14:paraId="539C5129" w14:textId="77777777" w:rsidR="001D2B4D" w:rsidRPr="00DB05A7" w:rsidRDefault="001D2B4D" w:rsidP="007816A2">
            <w:pPr>
              <w:ind w:left="69"/>
              <w:jc w:val="center"/>
              <w:rPr>
                <w:rFonts w:ascii="Arial" w:hAnsi="Arial" w:cs="Arial"/>
              </w:rPr>
            </w:pPr>
          </w:p>
        </w:tc>
        <w:tc>
          <w:tcPr>
            <w:tcW w:w="1869" w:type="dxa"/>
            <w:vMerge/>
            <w:vAlign w:val="center"/>
          </w:tcPr>
          <w:p w14:paraId="2EE27ADF" w14:textId="77777777" w:rsidR="001D2B4D" w:rsidRPr="00DB05A7" w:rsidRDefault="001D2B4D" w:rsidP="007816A2">
            <w:pPr>
              <w:rPr>
                <w:rFonts w:ascii="Arial" w:hAnsi="Arial" w:cs="Arial"/>
                <w:i/>
                <w:iCs/>
              </w:rPr>
            </w:pPr>
          </w:p>
        </w:tc>
        <w:tc>
          <w:tcPr>
            <w:tcW w:w="4497" w:type="dxa"/>
            <w:vMerge/>
            <w:vAlign w:val="center"/>
          </w:tcPr>
          <w:p w14:paraId="419082D8" w14:textId="77777777" w:rsidR="001D2B4D" w:rsidRPr="00DB05A7" w:rsidRDefault="001D2B4D" w:rsidP="007816A2">
            <w:pPr>
              <w:rPr>
                <w:rFonts w:ascii="Arial" w:hAnsi="Arial" w:cs="Arial"/>
                <w:color w:val="0070C0"/>
              </w:rPr>
            </w:pPr>
          </w:p>
        </w:tc>
        <w:tc>
          <w:tcPr>
            <w:tcW w:w="5403" w:type="dxa"/>
            <w:vAlign w:val="center"/>
          </w:tcPr>
          <w:p w14:paraId="5FF87D65" w14:textId="4ABCDA25" w:rsidR="001D2B4D" w:rsidRPr="00246520" w:rsidRDefault="001D2B4D" w:rsidP="007816A2">
            <w:pPr>
              <w:rPr>
                <w:rFonts w:ascii="Arial" w:hAnsi="Arial" w:cs="Arial"/>
              </w:rPr>
            </w:pPr>
            <w:r w:rsidRPr="00246520">
              <w:rPr>
                <w:rFonts w:ascii="Arial" w:hAnsi="Arial" w:cs="Arial"/>
              </w:rPr>
              <w:t xml:space="preserve">There needs to be clear language around disruption in Medi-Cal, because it's sometimes necessary to work with families, especially when patient is a youth </w:t>
            </w:r>
            <w:r w:rsidRPr="00246520">
              <w:rPr>
                <w:rFonts w:ascii="Arial" w:hAnsi="Arial" w:cs="Arial"/>
              </w:rPr>
              <w:lastRenderedPageBreak/>
              <w:t>and doesn't know what's happening with their Medi-Cal</w:t>
            </w:r>
          </w:p>
        </w:tc>
        <w:tc>
          <w:tcPr>
            <w:tcW w:w="5861" w:type="dxa"/>
            <w:shd w:val="clear" w:color="auto" w:fill="E7E6E6" w:themeFill="background2"/>
            <w:vAlign w:val="center"/>
          </w:tcPr>
          <w:p w14:paraId="5AEF7F3B" w14:textId="1CE3DCC3" w:rsidR="001D2B4D" w:rsidRPr="00B112BC" w:rsidRDefault="00F571F7" w:rsidP="007816A2">
            <w:pPr>
              <w:rPr>
                <w:rFonts w:ascii="Arial" w:hAnsi="Arial" w:cs="Arial"/>
                <w:color w:val="7030A0"/>
              </w:rPr>
            </w:pPr>
            <w:r w:rsidRPr="00B112BC">
              <w:rPr>
                <w:rFonts w:ascii="Arial" w:hAnsi="Arial" w:cs="Arial"/>
                <w:color w:val="7030A0"/>
              </w:rPr>
              <w:lastRenderedPageBreak/>
              <w:t>Agreed, see above regarding implementation of agency policies that can help address this and how to enhance use of care coordination to support completion.</w:t>
            </w:r>
          </w:p>
        </w:tc>
      </w:tr>
      <w:tr w:rsidR="001D2B4D" w:rsidRPr="00DB05A7" w14:paraId="6E40559C" w14:textId="77777777" w:rsidTr="007E4E1E">
        <w:trPr>
          <w:trHeight w:val="1763"/>
        </w:trPr>
        <w:tc>
          <w:tcPr>
            <w:tcW w:w="831" w:type="dxa"/>
            <w:vMerge/>
            <w:vAlign w:val="center"/>
          </w:tcPr>
          <w:p w14:paraId="0B12CD42" w14:textId="77777777" w:rsidR="001D2B4D" w:rsidRPr="00DB05A7" w:rsidRDefault="001D2B4D" w:rsidP="007816A2">
            <w:pPr>
              <w:ind w:left="69"/>
              <w:jc w:val="center"/>
              <w:rPr>
                <w:rFonts w:ascii="Arial" w:hAnsi="Arial" w:cs="Arial"/>
              </w:rPr>
            </w:pPr>
          </w:p>
        </w:tc>
        <w:tc>
          <w:tcPr>
            <w:tcW w:w="1869" w:type="dxa"/>
            <w:vMerge/>
            <w:vAlign w:val="center"/>
          </w:tcPr>
          <w:p w14:paraId="6B591159" w14:textId="77777777" w:rsidR="001D2B4D" w:rsidRPr="00DB05A7" w:rsidRDefault="001D2B4D" w:rsidP="007816A2">
            <w:pPr>
              <w:rPr>
                <w:rFonts w:ascii="Arial" w:hAnsi="Arial" w:cs="Arial"/>
                <w:i/>
                <w:iCs/>
              </w:rPr>
            </w:pPr>
          </w:p>
        </w:tc>
        <w:tc>
          <w:tcPr>
            <w:tcW w:w="4497" w:type="dxa"/>
            <w:vMerge/>
            <w:vAlign w:val="center"/>
          </w:tcPr>
          <w:p w14:paraId="52FB8242" w14:textId="77777777" w:rsidR="001D2B4D" w:rsidRPr="00DB05A7" w:rsidRDefault="001D2B4D" w:rsidP="007816A2">
            <w:pPr>
              <w:rPr>
                <w:rFonts w:ascii="Arial" w:hAnsi="Arial" w:cs="Arial"/>
                <w:color w:val="0070C0"/>
              </w:rPr>
            </w:pPr>
          </w:p>
        </w:tc>
        <w:tc>
          <w:tcPr>
            <w:tcW w:w="5403" w:type="dxa"/>
            <w:vAlign w:val="center"/>
          </w:tcPr>
          <w:p w14:paraId="15C112CB" w14:textId="352123AE" w:rsidR="001D2B4D" w:rsidRPr="00246520" w:rsidRDefault="001D2B4D" w:rsidP="007816A2">
            <w:pPr>
              <w:rPr>
                <w:rFonts w:ascii="Arial" w:hAnsi="Arial" w:cs="Arial"/>
              </w:rPr>
            </w:pPr>
            <w:r w:rsidRPr="00DB05A7">
              <w:rPr>
                <w:rFonts w:ascii="Arial" w:hAnsi="Arial" w:cs="Arial"/>
              </w:rPr>
              <w:t xml:space="preserve">If </w:t>
            </w:r>
            <w:r>
              <w:rPr>
                <w:rFonts w:ascii="Arial" w:hAnsi="Arial" w:cs="Arial"/>
              </w:rPr>
              <w:t>patient</w:t>
            </w:r>
            <w:r w:rsidRPr="00DB05A7">
              <w:rPr>
                <w:rFonts w:ascii="Arial" w:hAnsi="Arial" w:cs="Arial"/>
              </w:rPr>
              <w:t xml:space="preserve"> suddenly has private insurance, then agency would need some time to transition </w:t>
            </w:r>
            <w:r>
              <w:rPr>
                <w:rFonts w:ascii="Arial" w:hAnsi="Arial" w:cs="Arial"/>
              </w:rPr>
              <w:t>patient</w:t>
            </w:r>
            <w:r w:rsidRPr="00DB05A7">
              <w:rPr>
                <w:rFonts w:ascii="Arial" w:hAnsi="Arial" w:cs="Arial"/>
              </w:rPr>
              <w:t xml:space="preserve"> out to those other funding sources.</w:t>
            </w:r>
          </w:p>
        </w:tc>
        <w:tc>
          <w:tcPr>
            <w:tcW w:w="5861" w:type="dxa"/>
            <w:shd w:val="clear" w:color="auto" w:fill="E7E6E6" w:themeFill="background2"/>
            <w:vAlign w:val="center"/>
          </w:tcPr>
          <w:p w14:paraId="2AFAB00B" w14:textId="2C6C18EC" w:rsidR="001D2B4D" w:rsidRPr="00B112BC" w:rsidRDefault="004062BA" w:rsidP="007816A2">
            <w:pPr>
              <w:rPr>
                <w:rFonts w:ascii="Arial" w:hAnsi="Arial" w:cs="Arial"/>
                <w:color w:val="7030A0"/>
              </w:rPr>
            </w:pPr>
            <w:r w:rsidRPr="00B112BC">
              <w:rPr>
                <w:rFonts w:ascii="Arial" w:hAnsi="Arial" w:cs="Arial"/>
                <w:color w:val="7030A0"/>
              </w:rPr>
              <w:t xml:space="preserve">SAPC is unable to reimburse services for ineligible patients, including those enrolled in treatment under Medi-Cal but transition to private insurance. </w:t>
            </w:r>
            <w:r w:rsidR="00335141" w:rsidRPr="00B112BC">
              <w:rPr>
                <w:rFonts w:ascii="Arial" w:hAnsi="Arial" w:cs="Arial"/>
                <w:color w:val="7030A0"/>
              </w:rPr>
              <w:t xml:space="preserve">Providers can and should offer sliding scale services in these instances, and/or </w:t>
            </w:r>
            <w:r w:rsidR="007E4E1E" w:rsidRPr="00B112BC">
              <w:rPr>
                <w:rFonts w:ascii="Arial" w:hAnsi="Arial" w:cs="Arial"/>
                <w:color w:val="7030A0"/>
              </w:rPr>
              <w:t xml:space="preserve">become a provider for private insurance. </w:t>
            </w:r>
            <w:r w:rsidR="00F571F7" w:rsidRPr="00B112BC">
              <w:rPr>
                <w:rFonts w:ascii="Arial" w:hAnsi="Arial" w:cs="Arial"/>
                <w:color w:val="7030A0"/>
              </w:rPr>
              <w:t xml:space="preserve"> </w:t>
            </w:r>
          </w:p>
        </w:tc>
      </w:tr>
      <w:tr w:rsidR="007816A2" w:rsidRPr="00DB05A7" w14:paraId="68B623CD" w14:textId="77777777" w:rsidTr="00CF1B60">
        <w:trPr>
          <w:trHeight w:val="3320"/>
        </w:trPr>
        <w:tc>
          <w:tcPr>
            <w:tcW w:w="831" w:type="dxa"/>
            <w:vAlign w:val="center"/>
          </w:tcPr>
          <w:p w14:paraId="493FA816" w14:textId="2974D488" w:rsidR="002B07EC" w:rsidRPr="00DB05A7" w:rsidRDefault="002B07EC" w:rsidP="007816A2">
            <w:pPr>
              <w:ind w:left="69"/>
              <w:jc w:val="center"/>
              <w:rPr>
                <w:rFonts w:ascii="Arial" w:hAnsi="Arial" w:cs="Arial"/>
              </w:rPr>
            </w:pPr>
            <w:r w:rsidRPr="00DB05A7">
              <w:rPr>
                <w:rFonts w:ascii="Arial" w:hAnsi="Arial" w:cs="Arial"/>
              </w:rPr>
              <w:t>4</w:t>
            </w:r>
          </w:p>
        </w:tc>
        <w:tc>
          <w:tcPr>
            <w:tcW w:w="1869" w:type="dxa"/>
            <w:vAlign w:val="center"/>
          </w:tcPr>
          <w:p w14:paraId="2A203494" w14:textId="7BE91F11" w:rsidR="002B07EC" w:rsidRPr="00DB05A7" w:rsidRDefault="002B07EC" w:rsidP="007816A2">
            <w:pPr>
              <w:jc w:val="center"/>
              <w:rPr>
                <w:rFonts w:ascii="Arial" w:hAnsi="Arial" w:cs="Arial"/>
                <w:i/>
                <w:iCs/>
              </w:rPr>
            </w:pPr>
            <w:r w:rsidRPr="00DB05A7">
              <w:rPr>
                <w:rFonts w:ascii="Arial" w:hAnsi="Arial" w:cs="Arial"/>
                <w:i/>
                <w:iCs/>
              </w:rPr>
              <w:t xml:space="preserve">V. Medi-Cal Enrollment Status. A. </w:t>
            </w:r>
          </w:p>
        </w:tc>
        <w:tc>
          <w:tcPr>
            <w:tcW w:w="4497" w:type="dxa"/>
            <w:vAlign w:val="center"/>
          </w:tcPr>
          <w:p w14:paraId="228EA231" w14:textId="77777777" w:rsidR="002B07EC" w:rsidRPr="00DB05A7" w:rsidRDefault="002B07EC" w:rsidP="007816A2">
            <w:pPr>
              <w:spacing w:before="240" w:after="240"/>
              <w:rPr>
                <w:rFonts w:ascii="Arial" w:eastAsia="Arial" w:hAnsi="Arial" w:cs="Arial"/>
                <w:color w:val="0070C0"/>
              </w:rPr>
            </w:pPr>
            <w:r w:rsidRPr="00DB05A7">
              <w:rPr>
                <w:rFonts w:ascii="Arial" w:eastAsia="Arial" w:hAnsi="Arial" w:cs="Arial"/>
                <w:color w:val="0070C0"/>
              </w:rPr>
              <w:t xml:space="preserve">A termination of Medi-Cal enrollment due to the patient no longer meeting income and other requirements requires the program to transition the patient in one of these ways: </w:t>
            </w:r>
          </w:p>
          <w:p w14:paraId="54F10199" w14:textId="77777777" w:rsidR="002B07EC" w:rsidRPr="00DB05A7" w:rsidRDefault="002B07EC" w:rsidP="007816A2">
            <w:pPr>
              <w:pStyle w:val="ListParagraph"/>
              <w:numPr>
                <w:ilvl w:val="0"/>
                <w:numId w:val="4"/>
              </w:numPr>
              <w:spacing w:before="240" w:after="240"/>
              <w:rPr>
                <w:rFonts w:ascii="Arial" w:eastAsia="Arial" w:hAnsi="Arial" w:cs="Arial"/>
                <w:color w:val="000000" w:themeColor="text1"/>
              </w:rPr>
            </w:pPr>
            <w:r w:rsidRPr="00DB05A7">
              <w:rPr>
                <w:rFonts w:ascii="Arial" w:eastAsia="Arial" w:hAnsi="Arial" w:cs="Arial"/>
                <w:color w:val="000000" w:themeColor="text1"/>
              </w:rPr>
              <w:t>Continue serving the patient under non-Drug Medi-Cal (DMC) funding sources or agency scholarship to avoid disruption in care.</w:t>
            </w:r>
          </w:p>
          <w:p w14:paraId="308DCA6A" w14:textId="77777777" w:rsidR="002B07EC" w:rsidRPr="00DB05A7" w:rsidRDefault="002B07EC" w:rsidP="007816A2">
            <w:pPr>
              <w:jc w:val="center"/>
              <w:rPr>
                <w:rFonts w:ascii="Arial" w:hAnsi="Arial" w:cs="Arial"/>
              </w:rPr>
            </w:pPr>
          </w:p>
        </w:tc>
        <w:tc>
          <w:tcPr>
            <w:tcW w:w="5403" w:type="dxa"/>
            <w:vAlign w:val="center"/>
          </w:tcPr>
          <w:p w14:paraId="6495B961" w14:textId="77777777" w:rsidR="002B07EC" w:rsidRDefault="002B07EC" w:rsidP="007816A2">
            <w:pPr>
              <w:rPr>
                <w:rFonts w:ascii="Arial" w:hAnsi="Arial" w:cs="Arial"/>
              </w:rPr>
            </w:pPr>
            <w:r w:rsidRPr="00DB05A7">
              <w:rPr>
                <w:rFonts w:ascii="Arial" w:hAnsi="Arial" w:cs="Arial"/>
              </w:rPr>
              <w:t>For this to not unfairly impact providers, SAPC must:</w:t>
            </w:r>
          </w:p>
          <w:p w14:paraId="33B8E799" w14:textId="77777777" w:rsidR="002B07EC" w:rsidRPr="007E4E1E" w:rsidRDefault="002B07EC" w:rsidP="007816A2">
            <w:pPr>
              <w:rPr>
                <w:rFonts w:ascii="Arial" w:hAnsi="Arial" w:cs="Arial"/>
                <w:sz w:val="10"/>
                <w:szCs w:val="10"/>
              </w:rPr>
            </w:pPr>
          </w:p>
          <w:p w14:paraId="5EF5A051" w14:textId="77777777" w:rsidR="002B07EC" w:rsidRPr="00DB05A7" w:rsidRDefault="002B07EC" w:rsidP="007816A2">
            <w:pPr>
              <w:pStyle w:val="ListParagraph"/>
              <w:numPr>
                <w:ilvl w:val="0"/>
                <w:numId w:val="5"/>
              </w:numPr>
              <w:rPr>
                <w:rFonts w:ascii="Arial" w:hAnsi="Arial" w:cs="Arial"/>
              </w:rPr>
            </w:pPr>
            <w:r w:rsidRPr="00DB05A7">
              <w:rPr>
                <w:rFonts w:ascii="Arial" w:hAnsi="Arial" w:cs="Arial"/>
              </w:rPr>
              <w:t xml:space="preserve">Allow for a “grace period” under the “applying for Medi-Cal” (beyond the current </w:t>
            </w:r>
            <w:proofErr w:type="gramStart"/>
            <w:r w:rsidRPr="00DB05A7">
              <w:rPr>
                <w:rFonts w:ascii="Arial" w:hAnsi="Arial" w:cs="Arial"/>
              </w:rPr>
              <w:t>30 day</w:t>
            </w:r>
            <w:proofErr w:type="gramEnd"/>
            <w:r w:rsidRPr="00DB05A7">
              <w:rPr>
                <w:rFonts w:ascii="Arial" w:hAnsi="Arial" w:cs="Arial"/>
              </w:rPr>
              <w:t xml:space="preserve"> limit) to allow providers ample time to reactivate a patient’s Medi-Cal.  </w:t>
            </w:r>
          </w:p>
          <w:p w14:paraId="10143AB7" w14:textId="77777777" w:rsidR="002B07EC" w:rsidRDefault="002B07EC" w:rsidP="007816A2">
            <w:pPr>
              <w:pStyle w:val="ListParagraph"/>
              <w:numPr>
                <w:ilvl w:val="0"/>
                <w:numId w:val="5"/>
              </w:numPr>
              <w:rPr>
                <w:rFonts w:ascii="Arial" w:hAnsi="Arial" w:cs="Arial"/>
              </w:rPr>
            </w:pPr>
            <w:r w:rsidRPr="00DB05A7">
              <w:rPr>
                <w:rFonts w:ascii="Arial" w:hAnsi="Arial" w:cs="Arial"/>
              </w:rPr>
              <w:t xml:space="preserve">SAPC must provide the referenced “non-Medi-Cal funding sources to fund treatment for individuals whose Medi-Cal issue cannot be rectified. </w:t>
            </w:r>
          </w:p>
          <w:p w14:paraId="0ADDCDED" w14:textId="77777777" w:rsidR="002B07EC" w:rsidRPr="00CF1B60" w:rsidRDefault="002B07EC" w:rsidP="007816A2">
            <w:pPr>
              <w:rPr>
                <w:rFonts w:ascii="Arial" w:hAnsi="Arial" w:cs="Arial"/>
                <w:sz w:val="10"/>
                <w:szCs w:val="10"/>
              </w:rPr>
            </w:pPr>
          </w:p>
          <w:p w14:paraId="4A9B0445" w14:textId="731D388C" w:rsidR="002B07EC" w:rsidRPr="00DB05A7" w:rsidRDefault="002B07EC" w:rsidP="007816A2">
            <w:pPr>
              <w:rPr>
                <w:rFonts w:ascii="Arial" w:hAnsi="Arial" w:cs="Arial"/>
              </w:rPr>
            </w:pPr>
            <w:r w:rsidRPr="00DB05A7">
              <w:rPr>
                <w:rFonts w:ascii="Arial" w:hAnsi="Arial" w:cs="Arial"/>
              </w:rPr>
              <w:t>It is unfair and unjust for SAPC to expect providers to provide “agency scholarships” to accomplish this</w:t>
            </w:r>
          </w:p>
        </w:tc>
        <w:tc>
          <w:tcPr>
            <w:tcW w:w="5861" w:type="dxa"/>
            <w:shd w:val="clear" w:color="auto" w:fill="E7E6E6" w:themeFill="background2"/>
            <w:vAlign w:val="center"/>
          </w:tcPr>
          <w:p w14:paraId="37FFBB03" w14:textId="4A82EB71" w:rsidR="002B07EC" w:rsidRPr="00B112BC" w:rsidRDefault="007D5C9F" w:rsidP="007816A2">
            <w:pPr>
              <w:rPr>
                <w:rFonts w:ascii="Arial" w:hAnsi="Arial" w:cs="Arial"/>
                <w:color w:val="7030A0"/>
              </w:rPr>
            </w:pPr>
            <w:proofErr w:type="gramStart"/>
            <w:r w:rsidRPr="00B112BC">
              <w:rPr>
                <w:rFonts w:ascii="Arial" w:hAnsi="Arial" w:cs="Arial"/>
                <w:color w:val="7030A0"/>
              </w:rPr>
              <w:t>Similar to</w:t>
            </w:r>
            <w:proofErr w:type="gramEnd"/>
            <w:r w:rsidRPr="00B112BC">
              <w:rPr>
                <w:rFonts w:ascii="Arial" w:hAnsi="Arial" w:cs="Arial"/>
                <w:color w:val="7030A0"/>
              </w:rPr>
              <w:t xml:space="preserve"> above, SAPC is unable to reimburse services for ineligible patients</w:t>
            </w:r>
            <w:r w:rsidR="00730DD6" w:rsidRPr="00B112BC">
              <w:rPr>
                <w:rFonts w:ascii="Arial" w:hAnsi="Arial" w:cs="Arial"/>
                <w:color w:val="7030A0"/>
              </w:rPr>
              <w:t>.</w:t>
            </w:r>
            <w:r w:rsidRPr="00B112BC">
              <w:rPr>
                <w:rFonts w:ascii="Arial" w:hAnsi="Arial" w:cs="Arial"/>
                <w:color w:val="7030A0"/>
              </w:rPr>
              <w:t xml:space="preserve"> The transition to fee-for-service Medi-Cal reimbursement </w:t>
            </w:r>
            <w:r w:rsidR="00730DD6" w:rsidRPr="00B112BC">
              <w:rPr>
                <w:rFonts w:ascii="Arial" w:hAnsi="Arial" w:cs="Arial"/>
                <w:color w:val="7030A0"/>
              </w:rPr>
              <w:t xml:space="preserve">model </w:t>
            </w:r>
            <w:r w:rsidRPr="00B112BC">
              <w:rPr>
                <w:rFonts w:ascii="Arial" w:hAnsi="Arial" w:cs="Arial"/>
                <w:color w:val="7030A0"/>
              </w:rPr>
              <w:t xml:space="preserve">enables providers to examine </w:t>
            </w:r>
            <w:r w:rsidR="00730DD6" w:rsidRPr="00B112BC">
              <w:rPr>
                <w:rFonts w:ascii="Arial" w:hAnsi="Arial" w:cs="Arial"/>
                <w:color w:val="7030A0"/>
              </w:rPr>
              <w:t xml:space="preserve">how to use service revenue which could be to support </w:t>
            </w:r>
            <w:r w:rsidR="000A6717" w:rsidRPr="00B112BC">
              <w:rPr>
                <w:rFonts w:ascii="Arial" w:hAnsi="Arial" w:cs="Arial"/>
                <w:color w:val="7030A0"/>
              </w:rPr>
              <w:t xml:space="preserve">patients who do not meet County requirements. </w:t>
            </w:r>
          </w:p>
        </w:tc>
      </w:tr>
      <w:tr w:rsidR="007816A2" w:rsidRPr="00DB05A7" w14:paraId="341403D9" w14:textId="77777777" w:rsidTr="00563593">
        <w:trPr>
          <w:trHeight w:val="529"/>
        </w:trPr>
        <w:tc>
          <w:tcPr>
            <w:tcW w:w="831" w:type="dxa"/>
            <w:vAlign w:val="center"/>
          </w:tcPr>
          <w:p w14:paraId="42AC8E44" w14:textId="5B1CC30B" w:rsidR="002B07EC" w:rsidRPr="00DB05A7" w:rsidRDefault="002B07EC" w:rsidP="007816A2">
            <w:pPr>
              <w:ind w:left="69"/>
              <w:jc w:val="center"/>
              <w:rPr>
                <w:rFonts w:ascii="Arial" w:hAnsi="Arial" w:cs="Arial"/>
              </w:rPr>
            </w:pPr>
            <w:r w:rsidRPr="00DB05A7">
              <w:rPr>
                <w:rFonts w:ascii="Arial" w:hAnsi="Arial" w:cs="Arial"/>
              </w:rPr>
              <w:t>4</w:t>
            </w:r>
          </w:p>
        </w:tc>
        <w:tc>
          <w:tcPr>
            <w:tcW w:w="1869" w:type="dxa"/>
            <w:vAlign w:val="center"/>
          </w:tcPr>
          <w:p w14:paraId="70DA985F" w14:textId="57A60494" w:rsidR="002B07EC" w:rsidRPr="00DB05A7" w:rsidRDefault="002B07EC" w:rsidP="007816A2">
            <w:pPr>
              <w:jc w:val="center"/>
              <w:rPr>
                <w:rFonts w:ascii="Arial" w:hAnsi="Arial" w:cs="Arial"/>
                <w:i/>
                <w:iCs/>
              </w:rPr>
            </w:pPr>
            <w:r w:rsidRPr="00DB05A7">
              <w:rPr>
                <w:rFonts w:ascii="Arial" w:hAnsi="Arial" w:cs="Arial"/>
                <w:i/>
                <w:iCs/>
              </w:rPr>
              <w:t>VII. Informational Materials</w:t>
            </w:r>
          </w:p>
        </w:tc>
        <w:tc>
          <w:tcPr>
            <w:tcW w:w="4497" w:type="dxa"/>
            <w:vAlign w:val="center"/>
          </w:tcPr>
          <w:p w14:paraId="0D147445" w14:textId="170A87BF" w:rsidR="002B07EC" w:rsidRPr="00DB05A7" w:rsidRDefault="002B07EC" w:rsidP="00563593">
            <w:pPr>
              <w:rPr>
                <w:rFonts w:ascii="Arial" w:eastAsia="Arial" w:hAnsi="Arial" w:cs="Arial"/>
                <w:color w:val="0070C0"/>
              </w:rPr>
            </w:pPr>
            <w:r w:rsidRPr="00DB05A7">
              <w:rPr>
                <w:rFonts w:ascii="Arial" w:hAnsi="Arial" w:cs="Arial"/>
              </w:rPr>
              <w:t xml:space="preserve">Ensure that all clients exiting services are provided with information, overdose prevention resources, linkage to </w:t>
            </w:r>
            <w:proofErr w:type="gramStart"/>
            <w:r w:rsidRPr="00DB05A7">
              <w:rPr>
                <w:rFonts w:ascii="Arial" w:hAnsi="Arial" w:cs="Arial"/>
              </w:rPr>
              <w:t>community based</w:t>
            </w:r>
            <w:proofErr w:type="gramEnd"/>
            <w:r w:rsidRPr="00DB05A7">
              <w:rPr>
                <w:rFonts w:ascii="Arial" w:hAnsi="Arial" w:cs="Arial"/>
              </w:rPr>
              <w:t xml:space="preserve"> services, and emphasize how patients can reconnect with treatment services as needed.</w:t>
            </w:r>
          </w:p>
        </w:tc>
        <w:tc>
          <w:tcPr>
            <w:tcW w:w="5403" w:type="dxa"/>
            <w:vAlign w:val="center"/>
          </w:tcPr>
          <w:p w14:paraId="64BD2300" w14:textId="0A066609" w:rsidR="002B07EC" w:rsidRPr="00DB05A7" w:rsidRDefault="002B07EC" w:rsidP="00563593">
            <w:pPr>
              <w:rPr>
                <w:rFonts w:ascii="Arial" w:hAnsi="Arial" w:cs="Arial"/>
              </w:rPr>
            </w:pPr>
            <w:r w:rsidRPr="00DB05A7">
              <w:rPr>
                <w:rFonts w:ascii="Arial" w:hAnsi="Arial" w:cs="Arial"/>
              </w:rPr>
              <w:t xml:space="preserve">Informational Materials: Ensure that all </w:t>
            </w:r>
            <w:r w:rsidRPr="00DB05A7">
              <w:rPr>
                <w:rFonts w:ascii="Arial" w:hAnsi="Arial" w:cs="Arial"/>
                <w:b/>
                <w:bCs/>
                <w:highlight w:val="yellow"/>
              </w:rPr>
              <w:t>patients</w:t>
            </w:r>
            <w:r w:rsidRPr="00DB05A7">
              <w:rPr>
                <w:rFonts w:ascii="Arial" w:hAnsi="Arial" w:cs="Arial"/>
              </w:rPr>
              <w:t xml:space="preserve"> exiting services are provided with information, overdose prevention resources, linkage to </w:t>
            </w:r>
            <w:proofErr w:type="gramStart"/>
            <w:r w:rsidRPr="00DB05A7">
              <w:rPr>
                <w:rFonts w:ascii="Arial" w:hAnsi="Arial" w:cs="Arial"/>
              </w:rPr>
              <w:t>community based</w:t>
            </w:r>
            <w:proofErr w:type="gramEnd"/>
            <w:r w:rsidRPr="00DB05A7">
              <w:rPr>
                <w:rFonts w:ascii="Arial" w:hAnsi="Arial" w:cs="Arial"/>
              </w:rPr>
              <w:t xml:space="preserve"> services, and emphasize how patients can reconnect with treatment services as needed.</w:t>
            </w:r>
          </w:p>
        </w:tc>
        <w:tc>
          <w:tcPr>
            <w:tcW w:w="5861" w:type="dxa"/>
            <w:shd w:val="clear" w:color="auto" w:fill="E7E6E6" w:themeFill="background2"/>
            <w:vAlign w:val="center"/>
          </w:tcPr>
          <w:p w14:paraId="46F4B016" w14:textId="5D0CAE53" w:rsidR="002B07EC" w:rsidRPr="00B112BC" w:rsidRDefault="0037763F" w:rsidP="00563593">
            <w:pPr>
              <w:rPr>
                <w:rFonts w:ascii="Arial" w:hAnsi="Arial" w:cs="Arial"/>
                <w:color w:val="7030A0"/>
              </w:rPr>
            </w:pPr>
            <w:r w:rsidRPr="00B112BC">
              <w:rPr>
                <w:rFonts w:ascii="Arial" w:hAnsi="Arial" w:cs="Arial"/>
                <w:color w:val="7030A0"/>
              </w:rPr>
              <w:t>Edit made.</w:t>
            </w:r>
          </w:p>
        </w:tc>
      </w:tr>
      <w:tr w:rsidR="007816A2" w:rsidRPr="00DB05A7" w14:paraId="5AD49C16" w14:textId="77777777" w:rsidTr="00563593">
        <w:trPr>
          <w:trHeight w:val="1843"/>
        </w:trPr>
        <w:tc>
          <w:tcPr>
            <w:tcW w:w="831" w:type="dxa"/>
            <w:vAlign w:val="center"/>
          </w:tcPr>
          <w:p w14:paraId="4707652E" w14:textId="32850ADD" w:rsidR="002B07EC" w:rsidRPr="00DB05A7" w:rsidRDefault="002B07EC" w:rsidP="00563593">
            <w:pPr>
              <w:ind w:left="69"/>
              <w:jc w:val="center"/>
              <w:rPr>
                <w:rFonts w:ascii="Arial" w:hAnsi="Arial" w:cs="Arial"/>
              </w:rPr>
            </w:pPr>
            <w:r w:rsidRPr="00DB05A7">
              <w:rPr>
                <w:rFonts w:ascii="Arial" w:hAnsi="Arial" w:cs="Arial"/>
              </w:rPr>
              <w:t>5</w:t>
            </w:r>
          </w:p>
        </w:tc>
        <w:tc>
          <w:tcPr>
            <w:tcW w:w="1869" w:type="dxa"/>
            <w:vAlign w:val="center"/>
          </w:tcPr>
          <w:p w14:paraId="01C16CB5" w14:textId="6E10DF66" w:rsidR="002B07EC" w:rsidRPr="00DB05A7" w:rsidRDefault="002B07EC" w:rsidP="00563593">
            <w:pPr>
              <w:jc w:val="center"/>
              <w:rPr>
                <w:rFonts w:ascii="Arial" w:hAnsi="Arial" w:cs="Arial"/>
                <w:i/>
                <w:iCs/>
              </w:rPr>
            </w:pPr>
            <w:r w:rsidRPr="00DB05A7">
              <w:rPr>
                <w:rFonts w:ascii="Arial" w:hAnsi="Arial" w:cs="Arial"/>
                <w:i/>
                <w:iCs/>
              </w:rPr>
              <w:t>VIII. Staff Training and Development. A.</w:t>
            </w:r>
          </w:p>
        </w:tc>
        <w:tc>
          <w:tcPr>
            <w:tcW w:w="4497" w:type="dxa"/>
            <w:vAlign w:val="center"/>
          </w:tcPr>
          <w:p w14:paraId="74740ACE" w14:textId="78726FAF" w:rsidR="002B07EC" w:rsidRPr="00DB05A7" w:rsidRDefault="002B07EC" w:rsidP="00563593">
            <w:pPr>
              <w:rPr>
                <w:rFonts w:ascii="Arial" w:eastAsia="Arial" w:hAnsi="Arial" w:cs="Arial"/>
                <w:color w:val="0070C0"/>
              </w:rPr>
            </w:pPr>
            <w:r w:rsidRPr="00DB05A7">
              <w:rPr>
                <w:rFonts w:ascii="Arial" w:eastAsia="Arial" w:hAnsi="Arial" w:cs="Arial"/>
                <w:color w:val="0070C0"/>
              </w:rPr>
              <w:t>Upon hire, and minimally overview updates annually thereafter, on the discharge policy and demonstrate understanding of its requirements by attending a SAPC training or approved alternate presentation, including</w:t>
            </w:r>
          </w:p>
        </w:tc>
        <w:tc>
          <w:tcPr>
            <w:tcW w:w="5403" w:type="dxa"/>
            <w:vAlign w:val="center"/>
          </w:tcPr>
          <w:p w14:paraId="22CF83BD" w14:textId="404341C9" w:rsidR="002B07EC" w:rsidRPr="00DB05A7" w:rsidRDefault="002B07EC" w:rsidP="00563593">
            <w:pPr>
              <w:rPr>
                <w:rFonts w:ascii="Arial" w:hAnsi="Arial" w:cs="Arial"/>
              </w:rPr>
            </w:pPr>
            <w:r w:rsidRPr="00DB05A7">
              <w:rPr>
                <w:rFonts w:ascii="Arial" w:hAnsi="Arial" w:cs="Arial"/>
              </w:rPr>
              <w:t xml:space="preserve">Upon hire, and minimally overview updates annually thereafter, on the discharge policy and demonstrate understanding of its requirements by attending </w:t>
            </w:r>
            <w:proofErr w:type="gramStart"/>
            <w:r w:rsidRPr="00DB05A7">
              <w:rPr>
                <w:rFonts w:ascii="Arial" w:hAnsi="Arial" w:cs="Arial"/>
                <w:strike/>
              </w:rPr>
              <w:t>a</w:t>
            </w:r>
            <w:r w:rsidRPr="00DB05A7">
              <w:rPr>
                <w:rFonts w:ascii="Arial" w:hAnsi="Arial" w:cs="Arial"/>
              </w:rPr>
              <w:t xml:space="preserve"> </w:t>
            </w:r>
            <w:r w:rsidRPr="00DB05A7">
              <w:rPr>
                <w:rFonts w:ascii="Arial" w:hAnsi="Arial" w:cs="Arial"/>
                <w:b/>
                <w:bCs/>
                <w:highlight w:val="yellow"/>
              </w:rPr>
              <w:t>an</w:t>
            </w:r>
            <w:proofErr w:type="gramEnd"/>
            <w:r w:rsidRPr="00DB05A7">
              <w:rPr>
                <w:rFonts w:ascii="Arial" w:hAnsi="Arial" w:cs="Arial"/>
                <w:b/>
                <w:bCs/>
                <w:highlight w:val="yellow"/>
              </w:rPr>
              <w:t xml:space="preserve"> agency or</w:t>
            </w:r>
            <w:r w:rsidRPr="00DB05A7">
              <w:rPr>
                <w:rFonts w:ascii="Arial" w:hAnsi="Arial" w:cs="Arial"/>
              </w:rPr>
              <w:t xml:space="preserve"> SAPC training or </w:t>
            </w:r>
            <w:r w:rsidRPr="00DB05A7">
              <w:rPr>
                <w:rFonts w:ascii="Arial" w:hAnsi="Arial" w:cs="Arial"/>
                <w:strike/>
              </w:rPr>
              <w:t>approved alternate</w:t>
            </w:r>
            <w:r w:rsidRPr="00DB05A7">
              <w:rPr>
                <w:rFonts w:ascii="Arial" w:hAnsi="Arial" w:cs="Arial"/>
              </w:rPr>
              <w:t xml:space="preserve"> other comparable presentation, including</w:t>
            </w:r>
          </w:p>
        </w:tc>
        <w:tc>
          <w:tcPr>
            <w:tcW w:w="5861" w:type="dxa"/>
            <w:shd w:val="clear" w:color="auto" w:fill="E7E6E6" w:themeFill="background2"/>
            <w:vAlign w:val="center"/>
          </w:tcPr>
          <w:p w14:paraId="16E3117A" w14:textId="77777777" w:rsidR="002B07EC" w:rsidRDefault="00E12FF9" w:rsidP="00563593">
            <w:pPr>
              <w:rPr>
                <w:rFonts w:ascii="Arial" w:hAnsi="Arial" w:cs="Arial"/>
                <w:color w:val="7030A0"/>
              </w:rPr>
            </w:pPr>
            <w:r w:rsidRPr="00B112BC">
              <w:rPr>
                <w:rFonts w:ascii="Arial" w:hAnsi="Arial" w:cs="Arial"/>
                <w:color w:val="7030A0"/>
              </w:rPr>
              <w:t>Edit made.</w:t>
            </w:r>
          </w:p>
          <w:p w14:paraId="600FE039" w14:textId="77777777" w:rsidR="005C6BDD" w:rsidRDefault="005C6BDD" w:rsidP="00563593">
            <w:pPr>
              <w:rPr>
                <w:rFonts w:ascii="Arial" w:hAnsi="Arial" w:cs="Arial"/>
                <w:color w:val="7030A0"/>
              </w:rPr>
            </w:pPr>
          </w:p>
          <w:p w14:paraId="0DFDC0A8" w14:textId="144CC435" w:rsidR="00A57B41" w:rsidRPr="00B112BC" w:rsidRDefault="00A57B41" w:rsidP="00563593">
            <w:pPr>
              <w:rPr>
                <w:rFonts w:ascii="Arial" w:hAnsi="Arial" w:cs="Arial"/>
                <w:color w:val="7030A0"/>
              </w:rPr>
            </w:pPr>
            <w:r w:rsidRPr="0041373D">
              <w:rPr>
                <w:rFonts w:ascii="Arial" w:hAnsi="Arial" w:cs="Arial"/>
                <w:color w:val="7030A0"/>
              </w:rPr>
              <w:t>The Admission Policy template will be reposted with th</w:t>
            </w:r>
            <w:r>
              <w:rPr>
                <w:rFonts w:ascii="Arial" w:hAnsi="Arial" w:cs="Arial"/>
                <w:color w:val="7030A0"/>
              </w:rPr>
              <w:t>is</w:t>
            </w:r>
            <w:r w:rsidR="005C6BDD">
              <w:rPr>
                <w:rFonts w:ascii="Arial" w:hAnsi="Arial" w:cs="Arial"/>
                <w:color w:val="7030A0"/>
              </w:rPr>
              <w:t xml:space="preserve"> for consistency</w:t>
            </w:r>
            <w:r w:rsidRPr="0041373D">
              <w:rPr>
                <w:rFonts w:ascii="Arial" w:hAnsi="Arial" w:cs="Arial"/>
                <w:color w:val="7030A0"/>
              </w:rPr>
              <w:t>.</w:t>
            </w:r>
          </w:p>
        </w:tc>
      </w:tr>
      <w:tr w:rsidR="007816A2" w:rsidRPr="00DB05A7" w14:paraId="6811E2ED" w14:textId="77777777" w:rsidTr="00563593">
        <w:trPr>
          <w:trHeight w:val="2536"/>
        </w:trPr>
        <w:tc>
          <w:tcPr>
            <w:tcW w:w="831" w:type="dxa"/>
            <w:vAlign w:val="center"/>
          </w:tcPr>
          <w:p w14:paraId="234EF7B0" w14:textId="7048A83A" w:rsidR="002B07EC" w:rsidRPr="00DB05A7" w:rsidRDefault="002B07EC" w:rsidP="007816A2">
            <w:pPr>
              <w:ind w:left="69"/>
              <w:jc w:val="center"/>
              <w:rPr>
                <w:rFonts w:ascii="Arial" w:hAnsi="Arial" w:cs="Arial"/>
              </w:rPr>
            </w:pPr>
            <w:r w:rsidRPr="00DB05A7">
              <w:rPr>
                <w:rFonts w:ascii="Arial" w:hAnsi="Arial" w:cs="Arial"/>
              </w:rPr>
              <w:lastRenderedPageBreak/>
              <w:t>5</w:t>
            </w:r>
          </w:p>
        </w:tc>
        <w:tc>
          <w:tcPr>
            <w:tcW w:w="1869" w:type="dxa"/>
            <w:vAlign w:val="center"/>
          </w:tcPr>
          <w:p w14:paraId="2780CF2A" w14:textId="4FC0030B" w:rsidR="002B07EC" w:rsidRPr="00DB05A7" w:rsidRDefault="002B07EC" w:rsidP="007816A2">
            <w:pPr>
              <w:jc w:val="center"/>
              <w:rPr>
                <w:rFonts w:ascii="Arial" w:hAnsi="Arial" w:cs="Arial"/>
                <w:i/>
                <w:iCs/>
              </w:rPr>
            </w:pPr>
            <w:r w:rsidRPr="00DB05A7">
              <w:rPr>
                <w:rFonts w:ascii="Arial" w:hAnsi="Arial" w:cs="Arial"/>
                <w:i/>
                <w:iCs/>
              </w:rPr>
              <w:t>VIII. Staff Training and Development. B.</w:t>
            </w:r>
          </w:p>
        </w:tc>
        <w:tc>
          <w:tcPr>
            <w:tcW w:w="4497" w:type="dxa"/>
            <w:vAlign w:val="center"/>
          </w:tcPr>
          <w:p w14:paraId="139848E4" w14:textId="2A90AA72" w:rsidR="002B07EC" w:rsidRPr="00E12FF9" w:rsidRDefault="002B07EC" w:rsidP="00563593">
            <w:pPr>
              <w:rPr>
                <w:rFonts w:ascii="Arial" w:hAnsi="Arial" w:cs="Arial"/>
                <w:color w:val="0070C0"/>
              </w:rPr>
            </w:pPr>
            <w:r w:rsidRPr="00DB05A7" w:rsidDel="007F2A6F">
              <w:rPr>
                <w:rFonts w:ascii="Arial" w:hAnsi="Arial" w:cs="Arial"/>
                <w:color w:val="0070C0"/>
              </w:rPr>
              <w:t xml:space="preserve">Conduct regular staff meetings </w:t>
            </w:r>
            <w:r w:rsidRPr="00DB05A7">
              <w:rPr>
                <w:rFonts w:ascii="Arial" w:hAnsi="Arial" w:cs="Arial"/>
                <w:color w:val="0070C0"/>
              </w:rPr>
              <w:t xml:space="preserve">and dialogue on at least an annual basis with a focus on ensuring that </w:t>
            </w:r>
            <w:r w:rsidRPr="00DB05A7" w:rsidDel="007F2A6F">
              <w:rPr>
                <w:rFonts w:ascii="Arial" w:hAnsi="Arial" w:cs="Arial"/>
                <w:color w:val="0070C0"/>
              </w:rPr>
              <w:t xml:space="preserve">all staff can contribute to the discussion, </w:t>
            </w:r>
            <w:r w:rsidRPr="00DB05A7">
              <w:rPr>
                <w:rFonts w:ascii="Arial" w:hAnsi="Arial" w:cs="Arial"/>
                <w:color w:val="0070C0"/>
              </w:rPr>
              <w:t xml:space="preserve">design and implementation of strategies that effectively lower the bar for SUD treatment discharges and better serve the R95 population, which may be incorporated within the annual training or other forums.  </w:t>
            </w:r>
          </w:p>
        </w:tc>
        <w:tc>
          <w:tcPr>
            <w:tcW w:w="5403" w:type="dxa"/>
            <w:vAlign w:val="center"/>
          </w:tcPr>
          <w:p w14:paraId="54310302" w14:textId="372743E1" w:rsidR="002B07EC" w:rsidRPr="00E12FF9" w:rsidRDefault="002B07EC" w:rsidP="00563593">
            <w:pPr>
              <w:rPr>
                <w:rFonts w:ascii="Arial" w:hAnsi="Arial" w:cs="Arial"/>
              </w:rPr>
            </w:pPr>
            <w:r w:rsidRPr="00DB05A7" w:rsidDel="007F2A6F">
              <w:rPr>
                <w:rFonts w:ascii="Arial" w:hAnsi="Arial" w:cs="Arial"/>
              </w:rPr>
              <w:t xml:space="preserve">Conduct regular staff meetings </w:t>
            </w:r>
            <w:r w:rsidRPr="00DB05A7">
              <w:rPr>
                <w:rFonts w:ascii="Arial" w:hAnsi="Arial" w:cs="Arial"/>
              </w:rPr>
              <w:t xml:space="preserve">and dialogue on at least an annual basis with a focus on ensuring that </w:t>
            </w:r>
            <w:r w:rsidRPr="00DB05A7" w:rsidDel="007F2A6F">
              <w:rPr>
                <w:rFonts w:ascii="Arial" w:hAnsi="Arial" w:cs="Arial"/>
              </w:rPr>
              <w:t xml:space="preserve">all staff can contribute to the discussion, </w:t>
            </w:r>
            <w:r w:rsidRPr="00DB05A7">
              <w:rPr>
                <w:rFonts w:ascii="Arial" w:hAnsi="Arial" w:cs="Arial"/>
              </w:rPr>
              <w:t xml:space="preserve">design and implementation of strategies that effectively </w:t>
            </w:r>
            <w:r w:rsidRPr="00DB05A7">
              <w:rPr>
                <w:rFonts w:ascii="Arial" w:hAnsi="Arial" w:cs="Arial"/>
                <w:strike/>
              </w:rPr>
              <w:t>lower the bar</w:t>
            </w:r>
            <w:r w:rsidRPr="00DB05A7">
              <w:rPr>
                <w:rFonts w:ascii="Arial" w:hAnsi="Arial" w:cs="Arial"/>
              </w:rPr>
              <w:t xml:space="preserve"> </w:t>
            </w:r>
            <w:r w:rsidRPr="00DB05A7">
              <w:rPr>
                <w:rFonts w:ascii="Arial" w:hAnsi="Arial" w:cs="Arial"/>
                <w:b/>
                <w:bCs/>
                <w:highlight w:val="yellow"/>
              </w:rPr>
              <w:t>meet recommended standards</w:t>
            </w:r>
            <w:r w:rsidRPr="00DB05A7">
              <w:rPr>
                <w:rFonts w:ascii="Arial" w:hAnsi="Arial" w:cs="Arial"/>
              </w:rPr>
              <w:t xml:space="preserve"> for SUD treatment discharges</w:t>
            </w:r>
            <w:r w:rsidRPr="00225EB2">
              <w:rPr>
                <w:rFonts w:ascii="Arial" w:hAnsi="Arial" w:cs="Arial"/>
                <w:b/>
                <w:bCs/>
                <w:highlight w:val="yellow"/>
              </w:rPr>
              <w:t>/transfers</w:t>
            </w:r>
            <w:r w:rsidRPr="00DB05A7">
              <w:rPr>
                <w:rFonts w:ascii="Arial" w:hAnsi="Arial" w:cs="Arial"/>
              </w:rPr>
              <w:t xml:space="preserve"> and better serve the R95 </w:t>
            </w:r>
            <w:proofErr w:type="gramStart"/>
            <w:r w:rsidRPr="00DB05A7">
              <w:rPr>
                <w:rFonts w:ascii="Arial" w:hAnsi="Arial" w:cs="Arial"/>
              </w:rPr>
              <w:t>population;</w:t>
            </w:r>
            <w:proofErr w:type="gramEnd"/>
            <w:r w:rsidRPr="00DB05A7">
              <w:rPr>
                <w:rFonts w:ascii="Arial" w:hAnsi="Arial" w:cs="Arial"/>
              </w:rPr>
              <w:t xml:space="preserve"> which may be incorporated within the annual training or other forums.  </w:t>
            </w:r>
          </w:p>
        </w:tc>
        <w:tc>
          <w:tcPr>
            <w:tcW w:w="5861" w:type="dxa"/>
            <w:shd w:val="clear" w:color="auto" w:fill="E7E6E6" w:themeFill="background2"/>
            <w:vAlign w:val="center"/>
          </w:tcPr>
          <w:p w14:paraId="774D35B2" w14:textId="55F1F554" w:rsidR="002B07EC" w:rsidRPr="00B112BC" w:rsidRDefault="002C1CC9" w:rsidP="007816A2">
            <w:pPr>
              <w:rPr>
                <w:rFonts w:ascii="Arial" w:hAnsi="Arial" w:cs="Arial"/>
                <w:color w:val="7030A0"/>
              </w:rPr>
            </w:pPr>
            <w:r>
              <w:rPr>
                <w:rFonts w:ascii="Arial" w:hAnsi="Arial" w:cs="Arial"/>
                <w:color w:val="7030A0"/>
              </w:rPr>
              <w:t>These edits were not accepted</w:t>
            </w:r>
            <w:r w:rsidR="1E7C3CA9" w:rsidRPr="00B112BC">
              <w:rPr>
                <w:rFonts w:ascii="Arial" w:hAnsi="Arial" w:cs="Arial"/>
                <w:color w:val="7030A0"/>
              </w:rPr>
              <w:t>. The standards SAPC is setting here are not recommended and instead are required for those participating in the R95 Init</w:t>
            </w:r>
            <w:r w:rsidR="0B69A71E" w:rsidRPr="00B112BC">
              <w:rPr>
                <w:rFonts w:ascii="Arial" w:hAnsi="Arial" w:cs="Arial"/>
                <w:color w:val="7030A0"/>
              </w:rPr>
              <w:t>iative</w:t>
            </w:r>
            <w:r w:rsidR="1E7C3CA9" w:rsidRPr="00B112BC">
              <w:rPr>
                <w:rFonts w:ascii="Arial" w:hAnsi="Arial" w:cs="Arial"/>
                <w:color w:val="7030A0"/>
              </w:rPr>
              <w:t xml:space="preserve">, and SAPC thinks it is </w:t>
            </w:r>
            <w:r w:rsidR="4FDEB560" w:rsidRPr="00B112BC">
              <w:rPr>
                <w:rFonts w:ascii="Arial" w:hAnsi="Arial" w:cs="Arial"/>
                <w:color w:val="7030A0"/>
              </w:rPr>
              <w:t xml:space="preserve">important to be clear on the goal here – to lower the bar for SUD treatment discharges. </w:t>
            </w:r>
          </w:p>
        </w:tc>
      </w:tr>
      <w:tr w:rsidR="007816A2" w:rsidRPr="00DB05A7" w14:paraId="31183556" w14:textId="77777777" w:rsidTr="00CF0EE9">
        <w:trPr>
          <w:trHeight w:val="2744"/>
        </w:trPr>
        <w:tc>
          <w:tcPr>
            <w:tcW w:w="831" w:type="dxa"/>
            <w:vAlign w:val="center"/>
          </w:tcPr>
          <w:p w14:paraId="1FCDB0A6" w14:textId="05281F46" w:rsidR="002B07EC" w:rsidRPr="00DB05A7" w:rsidRDefault="002B07EC" w:rsidP="007816A2">
            <w:pPr>
              <w:ind w:left="69"/>
              <w:jc w:val="center"/>
              <w:rPr>
                <w:rFonts w:ascii="Arial" w:hAnsi="Arial" w:cs="Arial"/>
              </w:rPr>
            </w:pPr>
            <w:r w:rsidRPr="00DB05A7">
              <w:rPr>
                <w:rFonts w:ascii="Arial" w:hAnsi="Arial" w:cs="Arial"/>
              </w:rPr>
              <w:t>N/A</w:t>
            </w:r>
          </w:p>
        </w:tc>
        <w:tc>
          <w:tcPr>
            <w:tcW w:w="1869" w:type="dxa"/>
            <w:vAlign w:val="center"/>
          </w:tcPr>
          <w:p w14:paraId="30FE96BD" w14:textId="6F446A03" w:rsidR="002B07EC" w:rsidRPr="00DB05A7" w:rsidRDefault="002B07EC" w:rsidP="007816A2">
            <w:pPr>
              <w:jc w:val="center"/>
              <w:rPr>
                <w:rFonts w:ascii="Arial" w:hAnsi="Arial" w:cs="Arial"/>
              </w:rPr>
            </w:pPr>
            <w:r w:rsidRPr="00DB05A7">
              <w:rPr>
                <w:rFonts w:ascii="Arial" w:hAnsi="Arial" w:cs="Arial"/>
              </w:rPr>
              <w:t>-</w:t>
            </w:r>
          </w:p>
        </w:tc>
        <w:tc>
          <w:tcPr>
            <w:tcW w:w="4497" w:type="dxa"/>
            <w:vAlign w:val="center"/>
          </w:tcPr>
          <w:p w14:paraId="31E9A09C" w14:textId="2EA3EE07" w:rsidR="002B07EC" w:rsidRPr="00DB05A7" w:rsidRDefault="002B07EC" w:rsidP="007816A2">
            <w:pPr>
              <w:jc w:val="center"/>
              <w:rPr>
                <w:rFonts w:ascii="Arial" w:hAnsi="Arial" w:cs="Arial"/>
              </w:rPr>
            </w:pPr>
            <w:r w:rsidRPr="00DB05A7">
              <w:rPr>
                <w:rFonts w:ascii="Arial" w:hAnsi="Arial" w:cs="Arial"/>
              </w:rPr>
              <w:t>-</w:t>
            </w:r>
          </w:p>
        </w:tc>
        <w:tc>
          <w:tcPr>
            <w:tcW w:w="5403" w:type="dxa"/>
            <w:vAlign w:val="center"/>
          </w:tcPr>
          <w:p w14:paraId="6AC3533E" w14:textId="42C26744" w:rsidR="002B07EC" w:rsidRPr="00DB05A7" w:rsidRDefault="002B07EC" w:rsidP="007816A2">
            <w:pPr>
              <w:rPr>
                <w:rFonts w:ascii="Arial" w:hAnsi="Arial" w:cs="Arial"/>
              </w:rPr>
            </w:pPr>
            <w:r w:rsidRPr="00DB05A7">
              <w:rPr>
                <w:rFonts w:ascii="Arial" w:hAnsi="Arial" w:cs="Arial"/>
                <w:b/>
                <w:bCs/>
              </w:rPr>
              <w:t>Additional comment</w:t>
            </w:r>
            <w:r w:rsidRPr="00DB05A7">
              <w:rPr>
                <w:rFonts w:ascii="Arial" w:hAnsi="Arial" w:cs="Arial"/>
              </w:rPr>
              <w:t>: Since there's an effort to keep patients as long as possible, has there been any change in agency requirement for IOP or residential for a patient to maintain treatment? For example, if the current policy is to move forward and retain patients at a longer period, then those should those hours change on residential?</w:t>
            </w:r>
          </w:p>
        </w:tc>
        <w:tc>
          <w:tcPr>
            <w:tcW w:w="5861" w:type="dxa"/>
            <w:shd w:val="clear" w:color="auto" w:fill="E7E6E6" w:themeFill="background2"/>
            <w:vAlign w:val="center"/>
          </w:tcPr>
          <w:p w14:paraId="625D51CE" w14:textId="235B6F8C" w:rsidR="002B07EC" w:rsidRPr="00B112BC" w:rsidRDefault="00DE1900" w:rsidP="007816A2">
            <w:pPr>
              <w:rPr>
                <w:rFonts w:ascii="Arial" w:hAnsi="Arial" w:cs="Arial"/>
                <w:color w:val="7030A0"/>
              </w:rPr>
            </w:pPr>
            <w:r w:rsidRPr="00B112BC">
              <w:rPr>
                <w:rFonts w:ascii="Arial" w:hAnsi="Arial" w:cs="Arial"/>
                <w:color w:val="7030A0"/>
              </w:rPr>
              <w:t>When patients meet Medical Necessity, there are no</w:t>
            </w:r>
            <w:r w:rsidR="0073652E">
              <w:rPr>
                <w:rFonts w:ascii="Arial" w:hAnsi="Arial" w:cs="Arial"/>
                <w:color w:val="7030A0"/>
              </w:rPr>
              <w:t xml:space="preserve"> fixed duration of time</w:t>
            </w:r>
            <w:r w:rsidR="0012242C">
              <w:rPr>
                <w:rFonts w:ascii="Arial" w:hAnsi="Arial" w:cs="Arial"/>
                <w:color w:val="7030A0"/>
              </w:rPr>
              <w:t xml:space="preserve"> a patient can be served in a residential or high intensity outpatient level of care. Medical necessity for ongoing care is b</w:t>
            </w:r>
            <w:r w:rsidR="005301AB">
              <w:rPr>
                <w:rFonts w:ascii="Arial" w:hAnsi="Arial" w:cs="Arial"/>
                <w:color w:val="7030A0"/>
              </w:rPr>
              <w:t>ased up</w:t>
            </w:r>
            <w:r w:rsidR="009A7179">
              <w:rPr>
                <w:rFonts w:ascii="Arial" w:hAnsi="Arial" w:cs="Arial"/>
                <w:color w:val="7030A0"/>
              </w:rPr>
              <w:t xml:space="preserve">on the patient’s individual clinical needs. </w:t>
            </w:r>
            <w:r w:rsidR="002555CC" w:rsidRPr="00B112BC">
              <w:rPr>
                <w:rFonts w:ascii="Arial" w:hAnsi="Arial" w:cs="Arial"/>
                <w:color w:val="7030A0"/>
              </w:rPr>
              <w:t xml:space="preserve">For IOP, </w:t>
            </w:r>
            <w:r w:rsidR="00EF1EB5" w:rsidRPr="00B112BC">
              <w:rPr>
                <w:rFonts w:ascii="Arial" w:hAnsi="Arial" w:cs="Arial"/>
                <w:color w:val="7030A0"/>
              </w:rPr>
              <w:t xml:space="preserve">service hours can be in excess of 19 hours per week when medically necessary and a </w:t>
            </w:r>
            <w:r w:rsidR="00ED5FBB">
              <w:rPr>
                <w:rFonts w:ascii="Arial" w:hAnsi="Arial" w:cs="Arial"/>
                <w:color w:val="7030A0"/>
              </w:rPr>
              <w:t xml:space="preserve">separate partial hospital level of care designation </w:t>
            </w:r>
            <w:r w:rsidR="00EF1EB5" w:rsidRPr="00B112BC">
              <w:rPr>
                <w:rFonts w:ascii="Arial" w:hAnsi="Arial" w:cs="Arial"/>
                <w:color w:val="7030A0"/>
              </w:rPr>
              <w:t xml:space="preserve">is not needed. For residential, providers should submit a reauthorization request whenever a continued stay is </w:t>
            </w:r>
            <w:r w:rsidR="00ED5FBB">
              <w:rPr>
                <w:rFonts w:ascii="Arial" w:hAnsi="Arial" w:cs="Arial"/>
                <w:color w:val="7030A0"/>
              </w:rPr>
              <w:t xml:space="preserve">determined to be </w:t>
            </w:r>
            <w:r w:rsidR="00EF1EB5" w:rsidRPr="00B112BC">
              <w:rPr>
                <w:rFonts w:ascii="Arial" w:hAnsi="Arial" w:cs="Arial"/>
                <w:color w:val="7030A0"/>
              </w:rPr>
              <w:t xml:space="preserve">medically necessary including those that are </w:t>
            </w:r>
            <w:r w:rsidR="00CF0EE9" w:rsidRPr="00B112BC">
              <w:rPr>
                <w:rFonts w:ascii="Arial" w:hAnsi="Arial" w:cs="Arial"/>
                <w:color w:val="7030A0"/>
              </w:rPr>
              <w:t>necessary to prevent discharge to homelessness</w:t>
            </w:r>
            <w:r w:rsidR="00ED5FBB">
              <w:rPr>
                <w:rFonts w:ascii="Arial" w:hAnsi="Arial" w:cs="Arial"/>
                <w:color w:val="7030A0"/>
              </w:rPr>
              <w:t>, within the timeframes specifi</w:t>
            </w:r>
            <w:r w:rsidR="00D349A5">
              <w:rPr>
                <w:rFonts w:ascii="Arial" w:hAnsi="Arial" w:cs="Arial"/>
                <w:color w:val="7030A0"/>
              </w:rPr>
              <w:t xml:space="preserve">ed in the current version of the SAPC </w:t>
            </w:r>
            <w:r w:rsidR="00D349A5" w:rsidRPr="00D349A5">
              <w:rPr>
                <w:rFonts w:ascii="Arial" w:hAnsi="Arial" w:cs="Arial"/>
                <w:color w:val="7030A0"/>
              </w:rPr>
              <w:t>Checklist of Required Documentation for Utilization Management</w:t>
            </w:r>
            <w:r w:rsidR="00D349A5">
              <w:rPr>
                <w:rFonts w:ascii="Arial" w:hAnsi="Arial" w:cs="Arial"/>
                <w:color w:val="7030A0"/>
              </w:rPr>
              <w:t xml:space="preserve"> posted via </w:t>
            </w:r>
            <w:r w:rsidR="00ED5FBB">
              <w:rPr>
                <w:rFonts w:ascii="Arial" w:hAnsi="Arial" w:cs="Arial"/>
                <w:color w:val="7030A0"/>
              </w:rPr>
              <w:t xml:space="preserve"> </w:t>
            </w:r>
            <w:hyperlink r:id="rId14" w:anchor="clinical" w:history="1">
              <w:r w:rsidR="002E26DE" w:rsidRPr="008A66EA">
                <w:rPr>
                  <w:rStyle w:val="Hyperlink"/>
                  <w:rFonts w:ascii="Arial" w:hAnsi="Arial" w:cs="Arial"/>
                </w:rPr>
                <w:t>http://publichealth.lacounty.gov/sapc/providers/manuals-bulletins-and-forms.htm?tm#clinical</w:t>
              </w:r>
            </w:hyperlink>
            <w:r w:rsidR="00CF0EE9" w:rsidRPr="00B112BC">
              <w:rPr>
                <w:rFonts w:ascii="Arial" w:hAnsi="Arial" w:cs="Arial"/>
                <w:color w:val="7030A0"/>
              </w:rPr>
              <w:t>.</w:t>
            </w:r>
            <w:r w:rsidR="00EF1EB5" w:rsidRPr="00B112BC">
              <w:rPr>
                <w:rFonts w:ascii="Arial" w:hAnsi="Arial" w:cs="Arial"/>
                <w:color w:val="7030A0"/>
              </w:rPr>
              <w:t xml:space="preserve"> </w:t>
            </w:r>
            <w:r w:rsidR="005F5DB7" w:rsidRPr="00B112BC">
              <w:rPr>
                <w:rFonts w:ascii="Arial" w:hAnsi="Arial" w:cs="Arial"/>
                <w:color w:val="7030A0"/>
              </w:rPr>
              <w:t xml:space="preserve"> </w:t>
            </w:r>
          </w:p>
        </w:tc>
      </w:tr>
    </w:tbl>
    <w:p w14:paraId="4FC1F8A0" w14:textId="066CBF0F" w:rsidR="005718E8" w:rsidRPr="00DB05A7" w:rsidRDefault="007816A2" w:rsidP="00F93F5C">
      <w:pPr>
        <w:rPr>
          <w:rFonts w:ascii="Arial" w:hAnsi="Arial" w:cs="Arial"/>
        </w:rPr>
      </w:pPr>
      <w:r>
        <w:rPr>
          <w:rFonts w:ascii="Arial" w:hAnsi="Arial" w:cs="Arial"/>
        </w:rPr>
        <w:br w:type="textWrapping" w:clear="all"/>
      </w:r>
    </w:p>
    <w:sectPr w:rsidR="005718E8" w:rsidRPr="00DB05A7" w:rsidSect="001F723E">
      <w:headerReference w:type="default" r:id="rId15"/>
      <w:pgSz w:w="2016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0AED" w14:textId="77777777" w:rsidR="00CD374F" w:rsidRDefault="00CD374F" w:rsidP="00E61159">
      <w:pPr>
        <w:spacing w:after="0" w:line="240" w:lineRule="auto"/>
      </w:pPr>
      <w:r>
        <w:separator/>
      </w:r>
    </w:p>
  </w:endnote>
  <w:endnote w:type="continuationSeparator" w:id="0">
    <w:p w14:paraId="53AD360F" w14:textId="77777777" w:rsidR="00CD374F" w:rsidRDefault="00CD374F" w:rsidP="00E61159">
      <w:pPr>
        <w:spacing w:after="0" w:line="240" w:lineRule="auto"/>
      </w:pPr>
      <w:r>
        <w:continuationSeparator/>
      </w:r>
    </w:p>
  </w:endnote>
  <w:endnote w:type="continuationNotice" w:id="1">
    <w:p w14:paraId="0CE7CF62" w14:textId="77777777" w:rsidR="00CD374F" w:rsidRDefault="00CD3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B92F" w14:textId="77777777" w:rsidR="00CD374F" w:rsidRDefault="00CD374F" w:rsidP="00E61159">
      <w:pPr>
        <w:spacing w:after="0" w:line="240" w:lineRule="auto"/>
      </w:pPr>
      <w:r>
        <w:separator/>
      </w:r>
    </w:p>
  </w:footnote>
  <w:footnote w:type="continuationSeparator" w:id="0">
    <w:p w14:paraId="0BEAC5E9" w14:textId="77777777" w:rsidR="00CD374F" w:rsidRDefault="00CD374F" w:rsidP="00E61159">
      <w:pPr>
        <w:spacing w:after="0" w:line="240" w:lineRule="auto"/>
      </w:pPr>
      <w:r>
        <w:continuationSeparator/>
      </w:r>
    </w:p>
  </w:footnote>
  <w:footnote w:type="continuationNotice" w:id="1">
    <w:p w14:paraId="357816DE" w14:textId="77777777" w:rsidR="00CD374F" w:rsidRDefault="00CD3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450" w:type="dxa"/>
      <w:tblInd w:w="-5" w:type="dxa"/>
      <w:tblLook w:val="04A0" w:firstRow="1" w:lastRow="0" w:firstColumn="1" w:lastColumn="0" w:noHBand="0" w:noVBand="1"/>
    </w:tblPr>
    <w:tblGrid>
      <w:gridCol w:w="900"/>
      <w:gridCol w:w="1800"/>
      <w:gridCol w:w="4500"/>
      <w:gridCol w:w="5400"/>
      <w:gridCol w:w="5850"/>
    </w:tblGrid>
    <w:tr w:rsidR="006C7709" w:rsidRPr="0061140C" w14:paraId="1546C6D2" w14:textId="77777777" w:rsidTr="00970BED">
      <w:trPr>
        <w:trHeight w:val="710"/>
      </w:trPr>
      <w:tc>
        <w:tcPr>
          <w:tcW w:w="900" w:type="dxa"/>
          <w:shd w:val="clear" w:color="auto" w:fill="FFE599" w:themeFill="accent4" w:themeFillTint="66"/>
          <w:vAlign w:val="center"/>
        </w:tcPr>
        <w:p w14:paraId="2E56573E" w14:textId="77777777" w:rsidR="00E61159" w:rsidRPr="0061140C" w:rsidRDefault="00E61159" w:rsidP="00E61159">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1800" w:type="dxa"/>
          <w:shd w:val="clear" w:color="auto" w:fill="FFE599" w:themeFill="accent4" w:themeFillTint="66"/>
          <w:vAlign w:val="center"/>
        </w:tcPr>
        <w:p w14:paraId="415DAA4F" w14:textId="77777777" w:rsidR="00E61159" w:rsidRPr="0061140C" w:rsidRDefault="00E61159" w:rsidP="00E61159">
          <w:pPr>
            <w:rPr>
              <w:rFonts w:ascii="Tahoma" w:hAnsi="Tahoma" w:cs="Tahoma"/>
              <w:b/>
              <w:bCs/>
              <w:sz w:val="20"/>
              <w:szCs w:val="20"/>
              <w:u w:val="single"/>
            </w:rPr>
          </w:pPr>
          <w:r w:rsidRPr="0061140C">
            <w:rPr>
              <w:rFonts w:ascii="Tahoma" w:hAnsi="Tahoma" w:cs="Tahoma"/>
              <w:b/>
              <w:bCs/>
              <w:sz w:val="20"/>
              <w:szCs w:val="20"/>
              <w:u w:val="single"/>
            </w:rPr>
            <w:t>TEMPLATE SECTION</w:t>
          </w:r>
        </w:p>
        <w:p w14:paraId="415B68CC" w14:textId="77777777" w:rsidR="00E61159" w:rsidRPr="0061140C" w:rsidRDefault="00E61159" w:rsidP="00E61159">
          <w:pPr>
            <w:rPr>
              <w:rFonts w:ascii="Tahoma" w:hAnsi="Tahoma" w:cs="Tahoma"/>
              <w:i/>
              <w:iCs/>
              <w:sz w:val="20"/>
              <w:szCs w:val="20"/>
            </w:rPr>
          </w:pPr>
          <w:r w:rsidRPr="00DB294C">
            <w:rPr>
              <w:rFonts w:ascii="Tahoma" w:hAnsi="Tahoma" w:cs="Tahoma"/>
              <w:i/>
              <w:iCs/>
              <w:sz w:val="14"/>
              <w:szCs w:val="14"/>
            </w:rPr>
            <w:t>Purpose, Policy, Scope, Definitions, Procedures &amp; # and Letter of Section</w:t>
          </w:r>
        </w:p>
      </w:tc>
      <w:tc>
        <w:tcPr>
          <w:tcW w:w="4500" w:type="dxa"/>
          <w:shd w:val="clear" w:color="auto" w:fill="FFE599" w:themeFill="accent4" w:themeFillTint="66"/>
          <w:vAlign w:val="center"/>
        </w:tcPr>
        <w:p w14:paraId="6AD03A9D" w14:textId="506C5AD6" w:rsidR="00E61159" w:rsidRPr="0061140C" w:rsidRDefault="00EE282D" w:rsidP="00E61159">
          <w:pPr>
            <w:rPr>
              <w:rFonts w:ascii="Tahoma" w:hAnsi="Tahoma" w:cs="Tahoma"/>
              <w:b/>
              <w:bCs/>
              <w:sz w:val="20"/>
              <w:szCs w:val="20"/>
            </w:rPr>
          </w:pPr>
          <w:r>
            <w:rPr>
              <w:rFonts w:ascii="Tahoma" w:hAnsi="Tahoma" w:cs="Tahoma"/>
              <w:b/>
              <w:bCs/>
              <w:sz w:val="20"/>
              <w:szCs w:val="20"/>
            </w:rPr>
            <w:t>ORIGINAL</w:t>
          </w:r>
          <w:r w:rsidR="00E61159" w:rsidRPr="0061140C">
            <w:rPr>
              <w:rFonts w:ascii="Tahoma" w:hAnsi="Tahoma" w:cs="Tahoma"/>
              <w:b/>
              <w:bCs/>
              <w:sz w:val="20"/>
              <w:szCs w:val="20"/>
            </w:rPr>
            <w:t xml:space="preserve"> TEXT</w:t>
          </w:r>
        </w:p>
      </w:tc>
      <w:tc>
        <w:tcPr>
          <w:tcW w:w="5400" w:type="dxa"/>
          <w:shd w:val="clear" w:color="auto" w:fill="FFE599" w:themeFill="accent4" w:themeFillTint="66"/>
          <w:vAlign w:val="center"/>
        </w:tcPr>
        <w:p w14:paraId="416F8E03" w14:textId="4B8190D3" w:rsidR="00E61159" w:rsidRPr="0061140C" w:rsidRDefault="00EB06CD" w:rsidP="00E61159">
          <w:pPr>
            <w:rPr>
              <w:rFonts w:ascii="Tahoma" w:hAnsi="Tahoma" w:cs="Tahoma"/>
              <w:b/>
              <w:bCs/>
              <w:sz w:val="20"/>
              <w:szCs w:val="20"/>
            </w:rPr>
          </w:pPr>
          <w:r>
            <w:rPr>
              <w:rFonts w:ascii="Tahoma" w:hAnsi="Tahoma" w:cs="Tahoma"/>
              <w:b/>
              <w:bCs/>
              <w:sz w:val="20"/>
              <w:szCs w:val="20"/>
            </w:rPr>
            <w:t xml:space="preserve">PROVIDER </w:t>
          </w:r>
          <w:r w:rsidR="00E61159" w:rsidRPr="0061140C">
            <w:rPr>
              <w:rFonts w:ascii="Tahoma" w:hAnsi="Tahoma" w:cs="Tahoma"/>
              <w:b/>
              <w:bCs/>
              <w:sz w:val="20"/>
              <w:szCs w:val="20"/>
            </w:rPr>
            <w:t>COMMENTS</w:t>
          </w:r>
          <w:r w:rsidR="00E61159">
            <w:rPr>
              <w:rFonts w:ascii="Tahoma" w:hAnsi="Tahoma" w:cs="Tahoma"/>
              <w:b/>
              <w:bCs/>
              <w:sz w:val="20"/>
              <w:szCs w:val="20"/>
            </w:rPr>
            <w:t xml:space="preserve">, OR PROPOSED EDITS / REVISIONS ON REFERENCED </w:t>
          </w:r>
          <w:r w:rsidR="00E61159" w:rsidRPr="0061140C">
            <w:rPr>
              <w:rFonts w:ascii="Tahoma" w:hAnsi="Tahoma" w:cs="Tahoma"/>
              <w:b/>
              <w:bCs/>
              <w:sz w:val="20"/>
              <w:szCs w:val="20"/>
            </w:rPr>
            <w:t>TEXT</w:t>
          </w:r>
        </w:p>
      </w:tc>
      <w:tc>
        <w:tcPr>
          <w:tcW w:w="5850" w:type="dxa"/>
          <w:shd w:val="clear" w:color="auto" w:fill="FFE599" w:themeFill="accent4" w:themeFillTint="66"/>
          <w:vAlign w:val="center"/>
        </w:tcPr>
        <w:p w14:paraId="6FA7D943" w14:textId="4A88FEE4" w:rsidR="00E61159" w:rsidRPr="0061140C" w:rsidRDefault="0061015A" w:rsidP="00E61159">
          <w:pPr>
            <w:rPr>
              <w:rFonts w:ascii="Tahoma" w:hAnsi="Tahoma" w:cs="Tahoma"/>
              <w:b/>
              <w:bCs/>
              <w:sz w:val="20"/>
              <w:szCs w:val="20"/>
            </w:rPr>
          </w:pPr>
          <w:r>
            <w:rPr>
              <w:rFonts w:ascii="Arial" w:hAnsi="Arial" w:cs="Arial"/>
              <w:b/>
              <w:bCs/>
            </w:rPr>
            <w:t>SAPC RESPONSE TO PROVIDER FEEDBACK</w:t>
          </w:r>
        </w:p>
      </w:tc>
    </w:tr>
  </w:tbl>
  <w:p w14:paraId="6C4C8C8A" w14:textId="77777777" w:rsidR="00E61159" w:rsidRPr="00E61159" w:rsidRDefault="00E6115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E27"/>
    <w:multiLevelType w:val="hybridMultilevel"/>
    <w:tmpl w:val="3CA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827E4"/>
    <w:multiLevelType w:val="hybridMultilevel"/>
    <w:tmpl w:val="23422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3" w15:restartNumberingAfterBreak="0">
    <w:nsid w:val="518FFD80"/>
    <w:multiLevelType w:val="hybridMultilevel"/>
    <w:tmpl w:val="97CC1416"/>
    <w:lvl w:ilvl="0" w:tplc="159C42CE">
      <w:start w:val="1"/>
      <w:numFmt w:val="decimal"/>
      <w:lvlText w:val="%1."/>
      <w:lvlJc w:val="left"/>
      <w:pPr>
        <w:ind w:left="720" w:hanging="360"/>
      </w:pPr>
    </w:lvl>
    <w:lvl w:ilvl="1" w:tplc="26ACDBBA">
      <w:start w:val="1"/>
      <w:numFmt w:val="upperLetter"/>
      <w:lvlText w:val="%2."/>
      <w:lvlJc w:val="left"/>
      <w:pPr>
        <w:ind w:left="1440" w:hanging="360"/>
      </w:pPr>
    </w:lvl>
    <w:lvl w:ilvl="2" w:tplc="19EE0068">
      <w:start w:val="1"/>
      <w:numFmt w:val="decimal"/>
      <w:lvlText w:val="%3."/>
      <w:lvlJc w:val="left"/>
      <w:pPr>
        <w:ind w:left="2520" w:hanging="360"/>
      </w:pPr>
    </w:lvl>
    <w:lvl w:ilvl="3" w:tplc="F4981594">
      <w:start w:val="1"/>
      <w:numFmt w:val="decimal"/>
      <w:lvlText w:val="%4."/>
      <w:lvlJc w:val="left"/>
      <w:pPr>
        <w:ind w:left="2880" w:hanging="360"/>
      </w:pPr>
    </w:lvl>
    <w:lvl w:ilvl="4" w:tplc="4E963E30">
      <w:start w:val="1"/>
      <w:numFmt w:val="lowerLetter"/>
      <w:lvlText w:val="%5."/>
      <w:lvlJc w:val="left"/>
      <w:pPr>
        <w:ind w:left="3600" w:hanging="360"/>
      </w:pPr>
    </w:lvl>
    <w:lvl w:ilvl="5" w:tplc="1D220FCE">
      <w:start w:val="1"/>
      <w:numFmt w:val="lowerRoman"/>
      <w:lvlText w:val="%6."/>
      <w:lvlJc w:val="right"/>
      <w:pPr>
        <w:ind w:left="4320" w:hanging="180"/>
      </w:pPr>
    </w:lvl>
    <w:lvl w:ilvl="6" w:tplc="8E34E324">
      <w:start w:val="1"/>
      <w:numFmt w:val="decimal"/>
      <w:lvlText w:val="%7."/>
      <w:lvlJc w:val="left"/>
      <w:pPr>
        <w:ind w:left="5040" w:hanging="360"/>
      </w:pPr>
    </w:lvl>
    <w:lvl w:ilvl="7" w:tplc="5758335E">
      <w:start w:val="1"/>
      <w:numFmt w:val="lowerLetter"/>
      <w:lvlText w:val="%8."/>
      <w:lvlJc w:val="left"/>
      <w:pPr>
        <w:ind w:left="5760" w:hanging="360"/>
      </w:pPr>
    </w:lvl>
    <w:lvl w:ilvl="8" w:tplc="E60C1556">
      <w:start w:val="1"/>
      <w:numFmt w:val="lowerRoman"/>
      <w:lvlText w:val="%9."/>
      <w:lvlJc w:val="right"/>
      <w:pPr>
        <w:ind w:left="6480" w:hanging="180"/>
      </w:pPr>
    </w:lvl>
  </w:abstractNum>
  <w:abstractNum w:abstractNumId="4" w15:restartNumberingAfterBreak="0">
    <w:nsid w:val="58BD2494"/>
    <w:multiLevelType w:val="hybridMultilevel"/>
    <w:tmpl w:val="A484D800"/>
    <w:numStyleLink w:val="SAPCprocedures"/>
  </w:abstractNum>
  <w:abstractNum w:abstractNumId="5" w15:restartNumberingAfterBreak="0">
    <w:nsid w:val="5C946D7C"/>
    <w:multiLevelType w:val="hybridMultilevel"/>
    <w:tmpl w:val="D67A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B4468"/>
    <w:multiLevelType w:val="hybridMultilevel"/>
    <w:tmpl w:val="1066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66F87"/>
    <w:multiLevelType w:val="hybridMultilevel"/>
    <w:tmpl w:val="B082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803313">
    <w:abstractNumId w:val="0"/>
  </w:num>
  <w:num w:numId="2" w16cid:durableId="703019935">
    <w:abstractNumId w:val="7"/>
  </w:num>
  <w:num w:numId="3" w16cid:durableId="1693799268">
    <w:abstractNumId w:val="5"/>
  </w:num>
  <w:num w:numId="4" w16cid:durableId="609899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518971">
    <w:abstractNumId w:val="1"/>
  </w:num>
  <w:num w:numId="6" w16cid:durableId="1968270252">
    <w:abstractNumId w:val="6"/>
  </w:num>
  <w:num w:numId="7" w16cid:durableId="1805343208">
    <w:abstractNumId w:val="2"/>
  </w:num>
  <w:num w:numId="8" w16cid:durableId="828060218">
    <w:abstractNumId w:val="4"/>
    <w:lvlOverride w:ilvl="0">
      <w:lvl w:ilvl="0" w:tplc="4796BA60">
        <w:start w:val="1"/>
        <w:numFmt w:val="upperRoman"/>
        <w:lvlText w:val="%1."/>
        <w:lvlJc w:val="right"/>
        <w:pPr>
          <w:ind w:left="720" w:hanging="360"/>
        </w:pPr>
        <w:rPr>
          <w:rFonts w:ascii="Arial" w:hAnsi="Arial" w:hint="default"/>
          <w:b w:val="0"/>
          <w:i w:val="0"/>
          <w:strike w:val="0"/>
          <w:color w:val="auto"/>
          <w:sz w:val="24"/>
        </w:rPr>
      </w:lvl>
    </w:lvlOverride>
    <w:lvlOverride w:ilvl="1">
      <w:lvl w:ilvl="1" w:tplc="A648CA32">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84CA9A96">
        <w:start w:val="1"/>
        <w:numFmt w:val="decimal"/>
        <w:lvlText w:val="%3."/>
        <w:lvlJc w:val="left"/>
        <w:pPr>
          <w:ind w:left="2520" w:hanging="360"/>
        </w:pPr>
        <w:rPr>
          <w:b w:val="0"/>
          <w:i w:val="0"/>
          <w:color w:val="000000" w:themeColor="text1"/>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8"/>
    <w:rsid w:val="000042A0"/>
    <w:rsid w:val="00011E8F"/>
    <w:rsid w:val="000220D0"/>
    <w:rsid w:val="000250C0"/>
    <w:rsid w:val="000276F2"/>
    <w:rsid w:val="000306A7"/>
    <w:rsid w:val="00035AAB"/>
    <w:rsid w:val="000370F4"/>
    <w:rsid w:val="00052460"/>
    <w:rsid w:val="00054D3A"/>
    <w:rsid w:val="00057C5D"/>
    <w:rsid w:val="00061D78"/>
    <w:rsid w:val="00062619"/>
    <w:rsid w:val="00072748"/>
    <w:rsid w:val="00072EBD"/>
    <w:rsid w:val="000732C3"/>
    <w:rsid w:val="0008104F"/>
    <w:rsid w:val="000927CD"/>
    <w:rsid w:val="00093562"/>
    <w:rsid w:val="000A4052"/>
    <w:rsid w:val="000A4264"/>
    <w:rsid w:val="000A4678"/>
    <w:rsid w:val="000A6717"/>
    <w:rsid w:val="000B5238"/>
    <w:rsid w:val="000B6E51"/>
    <w:rsid w:val="000B77DB"/>
    <w:rsid w:val="000C7F74"/>
    <w:rsid w:val="000D0710"/>
    <w:rsid w:val="000D1355"/>
    <w:rsid w:val="000D16A3"/>
    <w:rsid w:val="000D3368"/>
    <w:rsid w:val="000D4701"/>
    <w:rsid w:val="000E04EF"/>
    <w:rsid w:val="000E1CE4"/>
    <w:rsid w:val="00101A82"/>
    <w:rsid w:val="0010398A"/>
    <w:rsid w:val="00103A3A"/>
    <w:rsid w:val="001046A9"/>
    <w:rsid w:val="00105D6C"/>
    <w:rsid w:val="00106E83"/>
    <w:rsid w:val="0010738F"/>
    <w:rsid w:val="0012242C"/>
    <w:rsid w:val="00122B0D"/>
    <w:rsid w:val="00126094"/>
    <w:rsid w:val="00126568"/>
    <w:rsid w:val="0013159A"/>
    <w:rsid w:val="00132635"/>
    <w:rsid w:val="00140A9B"/>
    <w:rsid w:val="0014155E"/>
    <w:rsid w:val="00141EC5"/>
    <w:rsid w:val="001427C6"/>
    <w:rsid w:val="00142C65"/>
    <w:rsid w:val="00143784"/>
    <w:rsid w:val="00144D29"/>
    <w:rsid w:val="00146B3E"/>
    <w:rsid w:val="00156393"/>
    <w:rsid w:val="001648E9"/>
    <w:rsid w:val="00173BFD"/>
    <w:rsid w:val="00174524"/>
    <w:rsid w:val="001754EA"/>
    <w:rsid w:val="00176ECE"/>
    <w:rsid w:val="00182507"/>
    <w:rsid w:val="00182D1C"/>
    <w:rsid w:val="00182FF1"/>
    <w:rsid w:val="001836BE"/>
    <w:rsid w:val="001858DE"/>
    <w:rsid w:val="00186716"/>
    <w:rsid w:val="00197E88"/>
    <w:rsid w:val="001A0C4B"/>
    <w:rsid w:val="001A59F4"/>
    <w:rsid w:val="001B22B1"/>
    <w:rsid w:val="001B5CC8"/>
    <w:rsid w:val="001B7B1D"/>
    <w:rsid w:val="001C5460"/>
    <w:rsid w:val="001D2B4D"/>
    <w:rsid w:val="001D2F68"/>
    <w:rsid w:val="001F27F8"/>
    <w:rsid w:val="001F2F66"/>
    <w:rsid w:val="001F6EC4"/>
    <w:rsid w:val="001F723E"/>
    <w:rsid w:val="00204290"/>
    <w:rsid w:val="00204457"/>
    <w:rsid w:val="00221AAE"/>
    <w:rsid w:val="00222732"/>
    <w:rsid w:val="002251DF"/>
    <w:rsid w:val="00225EB2"/>
    <w:rsid w:val="00226EA0"/>
    <w:rsid w:val="002308AC"/>
    <w:rsid w:val="002323EC"/>
    <w:rsid w:val="00233BFC"/>
    <w:rsid w:val="00234179"/>
    <w:rsid w:val="00245358"/>
    <w:rsid w:val="00246520"/>
    <w:rsid w:val="00247792"/>
    <w:rsid w:val="0025058C"/>
    <w:rsid w:val="002555CC"/>
    <w:rsid w:val="002566E1"/>
    <w:rsid w:val="00262FF8"/>
    <w:rsid w:val="002634CE"/>
    <w:rsid w:val="00267259"/>
    <w:rsid w:val="00271C19"/>
    <w:rsid w:val="0027309E"/>
    <w:rsid w:val="00273275"/>
    <w:rsid w:val="0027575E"/>
    <w:rsid w:val="00281084"/>
    <w:rsid w:val="00281866"/>
    <w:rsid w:val="00283B2D"/>
    <w:rsid w:val="00283F4F"/>
    <w:rsid w:val="00290B08"/>
    <w:rsid w:val="002A4A60"/>
    <w:rsid w:val="002A5FE0"/>
    <w:rsid w:val="002B07EC"/>
    <w:rsid w:val="002B2BF4"/>
    <w:rsid w:val="002B48D2"/>
    <w:rsid w:val="002B59AC"/>
    <w:rsid w:val="002C1CC9"/>
    <w:rsid w:val="002C3D26"/>
    <w:rsid w:val="002D0479"/>
    <w:rsid w:val="002D3AF9"/>
    <w:rsid w:val="002D6173"/>
    <w:rsid w:val="002E26DE"/>
    <w:rsid w:val="002E47CC"/>
    <w:rsid w:val="002F2BFE"/>
    <w:rsid w:val="002F358B"/>
    <w:rsid w:val="002F4A93"/>
    <w:rsid w:val="0030045B"/>
    <w:rsid w:val="00302A75"/>
    <w:rsid w:val="00307A08"/>
    <w:rsid w:val="00310078"/>
    <w:rsid w:val="003146C5"/>
    <w:rsid w:val="00323311"/>
    <w:rsid w:val="00323400"/>
    <w:rsid w:val="00323644"/>
    <w:rsid w:val="0032478E"/>
    <w:rsid w:val="00324DA4"/>
    <w:rsid w:val="003278AB"/>
    <w:rsid w:val="00332BC9"/>
    <w:rsid w:val="0033445C"/>
    <w:rsid w:val="00335141"/>
    <w:rsid w:val="003358BF"/>
    <w:rsid w:val="003461A8"/>
    <w:rsid w:val="00350DF9"/>
    <w:rsid w:val="00351B90"/>
    <w:rsid w:val="00353126"/>
    <w:rsid w:val="00354118"/>
    <w:rsid w:val="00365530"/>
    <w:rsid w:val="0036625D"/>
    <w:rsid w:val="00370821"/>
    <w:rsid w:val="0037624D"/>
    <w:rsid w:val="003769DB"/>
    <w:rsid w:val="0037763F"/>
    <w:rsid w:val="00380068"/>
    <w:rsid w:val="003948C3"/>
    <w:rsid w:val="00397F66"/>
    <w:rsid w:val="003A0148"/>
    <w:rsid w:val="003A2A3D"/>
    <w:rsid w:val="003A3F09"/>
    <w:rsid w:val="003B4382"/>
    <w:rsid w:val="003C057F"/>
    <w:rsid w:val="003C42B8"/>
    <w:rsid w:val="003C4A98"/>
    <w:rsid w:val="003C6492"/>
    <w:rsid w:val="003C7850"/>
    <w:rsid w:val="003D3447"/>
    <w:rsid w:val="003D4A76"/>
    <w:rsid w:val="003D4F33"/>
    <w:rsid w:val="003D6EE5"/>
    <w:rsid w:val="003E0BDE"/>
    <w:rsid w:val="003E1AD9"/>
    <w:rsid w:val="003E52CC"/>
    <w:rsid w:val="003E7BA5"/>
    <w:rsid w:val="003F05F6"/>
    <w:rsid w:val="003F32AD"/>
    <w:rsid w:val="00402812"/>
    <w:rsid w:val="00404225"/>
    <w:rsid w:val="00405B60"/>
    <w:rsid w:val="004062BA"/>
    <w:rsid w:val="00406D01"/>
    <w:rsid w:val="0041373D"/>
    <w:rsid w:val="004233DB"/>
    <w:rsid w:val="00426976"/>
    <w:rsid w:val="00431115"/>
    <w:rsid w:val="004311B3"/>
    <w:rsid w:val="00435A60"/>
    <w:rsid w:val="0044082A"/>
    <w:rsid w:val="00442C4B"/>
    <w:rsid w:val="00450C20"/>
    <w:rsid w:val="00451A5C"/>
    <w:rsid w:val="004641F9"/>
    <w:rsid w:val="004651BC"/>
    <w:rsid w:val="004677A8"/>
    <w:rsid w:val="004708F5"/>
    <w:rsid w:val="00470C77"/>
    <w:rsid w:val="004777DB"/>
    <w:rsid w:val="004818F0"/>
    <w:rsid w:val="00481CAD"/>
    <w:rsid w:val="00490F90"/>
    <w:rsid w:val="00491D61"/>
    <w:rsid w:val="00491F4B"/>
    <w:rsid w:val="0049659F"/>
    <w:rsid w:val="004A4561"/>
    <w:rsid w:val="004A4CEA"/>
    <w:rsid w:val="004A4E51"/>
    <w:rsid w:val="004B022F"/>
    <w:rsid w:val="004B1602"/>
    <w:rsid w:val="004B18EF"/>
    <w:rsid w:val="004B5713"/>
    <w:rsid w:val="004B6C81"/>
    <w:rsid w:val="004C5B85"/>
    <w:rsid w:val="004C5FA5"/>
    <w:rsid w:val="004D1392"/>
    <w:rsid w:val="004D5BC2"/>
    <w:rsid w:val="004D73DF"/>
    <w:rsid w:val="004E1E02"/>
    <w:rsid w:val="004E1E23"/>
    <w:rsid w:val="004E39D1"/>
    <w:rsid w:val="004E48F1"/>
    <w:rsid w:val="004E49ED"/>
    <w:rsid w:val="004E7499"/>
    <w:rsid w:val="004F2AE2"/>
    <w:rsid w:val="004F3718"/>
    <w:rsid w:val="0050339E"/>
    <w:rsid w:val="00511FC2"/>
    <w:rsid w:val="00513B88"/>
    <w:rsid w:val="00515364"/>
    <w:rsid w:val="00515668"/>
    <w:rsid w:val="0051766D"/>
    <w:rsid w:val="00523AAC"/>
    <w:rsid w:val="00524483"/>
    <w:rsid w:val="005301AB"/>
    <w:rsid w:val="00535176"/>
    <w:rsid w:val="00540F85"/>
    <w:rsid w:val="00545370"/>
    <w:rsid w:val="005507E4"/>
    <w:rsid w:val="00563593"/>
    <w:rsid w:val="00563E06"/>
    <w:rsid w:val="005718E8"/>
    <w:rsid w:val="00574B6C"/>
    <w:rsid w:val="005766F8"/>
    <w:rsid w:val="00580113"/>
    <w:rsid w:val="005833CB"/>
    <w:rsid w:val="00584491"/>
    <w:rsid w:val="0058689F"/>
    <w:rsid w:val="005968D8"/>
    <w:rsid w:val="005A0256"/>
    <w:rsid w:val="005A30C7"/>
    <w:rsid w:val="005B0383"/>
    <w:rsid w:val="005B6A8E"/>
    <w:rsid w:val="005B6CF4"/>
    <w:rsid w:val="005C6BDD"/>
    <w:rsid w:val="005C7895"/>
    <w:rsid w:val="005D0E0B"/>
    <w:rsid w:val="005D12CB"/>
    <w:rsid w:val="005D541E"/>
    <w:rsid w:val="005D7A81"/>
    <w:rsid w:val="005E4412"/>
    <w:rsid w:val="005E4538"/>
    <w:rsid w:val="005E45F3"/>
    <w:rsid w:val="005E7A2D"/>
    <w:rsid w:val="005F4DFD"/>
    <w:rsid w:val="005F5DB7"/>
    <w:rsid w:val="00606516"/>
    <w:rsid w:val="0061015A"/>
    <w:rsid w:val="0061140C"/>
    <w:rsid w:val="00617028"/>
    <w:rsid w:val="00634D6C"/>
    <w:rsid w:val="00640247"/>
    <w:rsid w:val="0064136E"/>
    <w:rsid w:val="006422DE"/>
    <w:rsid w:val="00650E77"/>
    <w:rsid w:val="00651ED7"/>
    <w:rsid w:val="00654A67"/>
    <w:rsid w:val="00655C1B"/>
    <w:rsid w:val="006640E5"/>
    <w:rsid w:val="00680551"/>
    <w:rsid w:val="00680DA6"/>
    <w:rsid w:val="00684D52"/>
    <w:rsid w:val="006878B8"/>
    <w:rsid w:val="00695EEA"/>
    <w:rsid w:val="006A56B2"/>
    <w:rsid w:val="006A6A01"/>
    <w:rsid w:val="006A77FF"/>
    <w:rsid w:val="006B32C2"/>
    <w:rsid w:val="006B3E31"/>
    <w:rsid w:val="006B6B28"/>
    <w:rsid w:val="006B7919"/>
    <w:rsid w:val="006C2259"/>
    <w:rsid w:val="006C7709"/>
    <w:rsid w:val="006D47E6"/>
    <w:rsid w:val="006E0D11"/>
    <w:rsid w:val="006E2880"/>
    <w:rsid w:val="006E2DC1"/>
    <w:rsid w:val="006E3888"/>
    <w:rsid w:val="006F039B"/>
    <w:rsid w:val="006F1B7E"/>
    <w:rsid w:val="006F2529"/>
    <w:rsid w:val="006F5FAF"/>
    <w:rsid w:val="006F64AF"/>
    <w:rsid w:val="00700AA1"/>
    <w:rsid w:val="007068AD"/>
    <w:rsid w:val="0071114D"/>
    <w:rsid w:val="00723A53"/>
    <w:rsid w:val="007246CC"/>
    <w:rsid w:val="0072720D"/>
    <w:rsid w:val="00730DD6"/>
    <w:rsid w:val="00730E9F"/>
    <w:rsid w:val="00731FBF"/>
    <w:rsid w:val="0073652E"/>
    <w:rsid w:val="007423EA"/>
    <w:rsid w:val="00747BA5"/>
    <w:rsid w:val="00747D6A"/>
    <w:rsid w:val="007502DC"/>
    <w:rsid w:val="00753D37"/>
    <w:rsid w:val="007641CA"/>
    <w:rsid w:val="00767ED1"/>
    <w:rsid w:val="00774358"/>
    <w:rsid w:val="00776ACE"/>
    <w:rsid w:val="00780A09"/>
    <w:rsid w:val="007816A2"/>
    <w:rsid w:val="00784970"/>
    <w:rsid w:val="00784D33"/>
    <w:rsid w:val="007854C4"/>
    <w:rsid w:val="007970F2"/>
    <w:rsid w:val="00797888"/>
    <w:rsid w:val="007A03F2"/>
    <w:rsid w:val="007A1754"/>
    <w:rsid w:val="007A1EC4"/>
    <w:rsid w:val="007A3652"/>
    <w:rsid w:val="007A466E"/>
    <w:rsid w:val="007A55F5"/>
    <w:rsid w:val="007A5650"/>
    <w:rsid w:val="007A674B"/>
    <w:rsid w:val="007B1789"/>
    <w:rsid w:val="007B7BF6"/>
    <w:rsid w:val="007B7C80"/>
    <w:rsid w:val="007C2621"/>
    <w:rsid w:val="007D02C6"/>
    <w:rsid w:val="007D1AD1"/>
    <w:rsid w:val="007D1FF8"/>
    <w:rsid w:val="007D47B1"/>
    <w:rsid w:val="007D4A14"/>
    <w:rsid w:val="007D4A42"/>
    <w:rsid w:val="007D54F0"/>
    <w:rsid w:val="007D5C9F"/>
    <w:rsid w:val="007E4E1E"/>
    <w:rsid w:val="007E5864"/>
    <w:rsid w:val="007E5D1F"/>
    <w:rsid w:val="007F776D"/>
    <w:rsid w:val="007F7F62"/>
    <w:rsid w:val="00802296"/>
    <w:rsid w:val="0080295B"/>
    <w:rsid w:val="00803109"/>
    <w:rsid w:val="008036AF"/>
    <w:rsid w:val="00806B51"/>
    <w:rsid w:val="00811D97"/>
    <w:rsid w:val="00814DFA"/>
    <w:rsid w:val="00816E3B"/>
    <w:rsid w:val="00823156"/>
    <w:rsid w:val="00823638"/>
    <w:rsid w:val="00831A4C"/>
    <w:rsid w:val="00831B06"/>
    <w:rsid w:val="00832E09"/>
    <w:rsid w:val="00834FAE"/>
    <w:rsid w:val="0083606F"/>
    <w:rsid w:val="00836AD3"/>
    <w:rsid w:val="00836D5B"/>
    <w:rsid w:val="008406B1"/>
    <w:rsid w:val="0084221B"/>
    <w:rsid w:val="00844CD6"/>
    <w:rsid w:val="00847335"/>
    <w:rsid w:val="00852875"/>
    <w:rsid w:val="00853618"/>
    <w:rsid w:val="00853735"/>
    <w:rsid w:val="00854576"/>
    <w:rsid w:val="00855758"/>
    <w:rsid w:val="00855CC4"/>
    <w:rsid w:val="0086699F"/>
    <w:rsid w:val="00870EF0"/>
    <w:rsid w:val="0087187A"/>
    <w:rsid w:val="008719A6"/>
    <w:rsid w:val="00884D2E"/>
    <w:rsid w:val="00887FC6"/>
    <w:rsid w:val="00890977"/>
    <w:rsid w:val="00896D28"/>
    <w:rsid w:val="008A0E06"/>
    <w:rsid w:val="008A0EBD"/>
    <w:rsid w:val="008A6AB7"/>
    <w:rsid w:val="008B15FD"/>
    <w:rsid w:val="008B1701"/>
    <w:rsid w:val="008B3FFC"/>
    <w:rsid w:val="008C6A3E"/>
    <w:rsid w:val="008C74EE"/>
    <w:rsid w:val="008D03B1"/>
    <w:rsid w:val="008D2828"/>
    <w:rsid w:val="008D4690"/>
    <w:rsid w:val="008D5241"/>
    <w:rsid w:val="008E2209"/>
    <w:rsid w:val="008E337B"/>
    <w:rsid w:val="008E69A4"/>
    <w:rsid w:val="008F043E"/>
    <w:rsid w:val="008F4188"/>
    <w:rsid w:val="008F4CD0"/>
    <w:rsid w:val="008F7206"/>
    <w:rsid w:val="0090313E"/>
    <w:rsid w:val="00903B99"/>
    <w:rsid w:val="00903F5F"/>
    <w:rsid w:val="0090576D"/>
    <w:rsid w:val="009071EA"/>
    <w:rsid w:val="00910EC1"/>
    <w:rsid w:val="00914FA1"/>
    <w:rsid w:val="00917B24"/>
    <w:rsid w:val="00921708"/>
    <w:rsid w:val="00922205"/>
    <w:rsid w:val="00927E37"/>
    <w:rsid w:val="0092F9E2"/>
    <w:rsid w:val="00942367"/>
    <w:rsid w:val="0094355A"/>
    <w:rsid w:val="00943D49"/>
    <w:rsid w:val="00945990"/>
    <w:rsid w:val="00952867"/>
    <w:rsid w:val="00953A7C"/>
    <w:rsid w:val="00965C49"/>
    <w:rsid w:val="0096713E"/>
    <w:rsid w:val="0096761D"/>
    <w:rsid w:val="00967E0F"/>
    <w:rsid w:val="00970BED"/>
    <w:rsid w:val="00973E63"/>
    <w:rsid w:val="00981AA0"/>
    <w:rsid w:val="00986BB3"/>
    <w:rsid w:val="009956E4"/>
    <w:rsid w:val="009A2C49"/>
    <w:rsid w:val="009A57B8"/>
    <w:rsid w:val="009A60E6"/>
    <w:rsid w:val="009A7179"/>
    <w:rsid w:val="009C006A"/>
    <w:rsid w:val="009C1092"/>
    <w:rsid w:val="009C13FC"/>
    <w:rsid w:val="009C19F4"/>
    <w:rsid w:val="009C268E"/>
    <w:rsid w:val="009C335C"/>
    <w:rsid w:val="009C503C"/>
    <w:rsid w:val="009C5DCE"/>
    <w:rsid w:val="009D5C00"/>
    <w:rsid w:val="009E026A"/>
    <w:rsid w:val="009E71F5"/>
    <w:rsid w:val="009F397A"/>
    <w:rsid w:val="009F4D75"/>
    <w:rsid w:val="009F698A"/>
    <w:rsid w:val="00A0461C"/>
    <w:rsid w:val="00A16FB8"/>
    <w:rsid w:val="00A212C6"/>
    <w:rsid w:val="00A24031"/>
    <w:rsid w:val="00A25DDB"/>
    <w:rsid w:val="00A31AF3"/>
    <w:rsid w:val="00A34A05"/>
    <w:rsid w:val="00A36A1A"/>
    <w:rsid w:val="00A41C91"/>
    <w:rsid w:val="00A47048"/>
    <w:rsid w:val="00A470FC"/>
    <w:rsid w:val="00A47808"/>
    <w:rsid w:val="00A47B04"/>
    <w:rsid w:val="00A57B41"/>
    <w:rsid w:val="00A64352"/>
    <w:rsid w:val="00A66C54"/>
    <w:rsid w:val="00A66C9E"/>
    <w:rsid w:val="00A769FA"/>
    <w:rsid w:val="00A808AD"/>
    <w:rsid w:val="00A90CB7"/>
    <w:rsid w:val="00A90F31"/>
    <w:rsid w:val="00A91E44"/>
    <w:rsid w:val="00A93CB4"/>
    <w:rsid w:val="00A948CE"/>
    <w:rsid w:val="00AA2B64"/>
    <w:rsid w:val="00AA3418"/>
    <w:rsid w:val="00AA50D6"/>
    <w:rsid w:val="00AA7C57"/>
    <w:rsid w:val="00AB276C"/>
    <w:rsid w:val="00AB49B4"/>
    <w:rsid w:val="00AB4C97"/>
    <w:rsid w:val="00AC013F"/>
    <w:rsid w:val="00AC1DBB"/>
    <w:rsid w:val="00AC54EA"/>
    <w:rsid w:val="00AC63C6"/>
    <w:rsid w:val="00AD5AA4"/>
    <w:rsid w:val="00AD7978"/>
    <w:rsid w:val="00AE04A0"/>
    <w:rsid w:val="00AE27CA"/>
    <w:rsid w:val="00AE657C"/>
    <w:rsid w:val="00AE79A4"/>
    <w:rsid w:val="00AF3487"/>
    <w:rsid w:val="00AF3907"/>
    <w:rsid w:val="00B025AB"/>
    <w:rsid w:val="00B02C5C"/>
    <w:rsid w:val="00B05EA0"/>
    <w:rsid w:val="00B06CFF"/>
    <w:rsid w:val="00B10448"/>
    <w:rsid w:val="00B112BC"/>
    <w:rsid w:val="00B11F1E"/>
    <w:rsid w:val="00B1323C"/>
    <w:rsid w:val="00B144CA"/>
    <w:rsid w:val="00B15B81"/>
    <w:rsid w:val="00B34FF8"/>
    <w:rsid w:val="00B42758"/>
    <w:rsid w:val="00B52C75"/>
    <w:rsid w:val="00B53509"/>
    <w:rsid w:val="00B64799"/>
    <w:rsid w:val="00B66A3C"/>
    <w:rsid w:val="00B672A2"/>
    <w:rsid w:val="00B70CA7"/>
    <w:rsid w:val="00B71080"/>
    <w:rsid w:val="00B76FBD"/>
    <w:rsid w:val="00B82405"/>
    <w:rsid w:val="00B94CF9"/>
    <w:rsid w:val="00B96619"/>
    <w:rsid w:val="00BC1340"/>
    <w:rsid w:val="00BC1D35"/>
    <w:rsid w:val="00BC395F"/>
    <w:rsid w:val="00BD285C"/>
    <w:rsid w:val="00BE0EE5"/>
    <w:rsid w:val="00BE5375"/>
    <w:rsid w:val="00BF0C60"/>
    <w:rsid w:val="00BF29B4"/>
    <w:rsid w:val="00BF3462"/>
    <w:rsid w:val="00BF362A"/>
    <w:rsid w:val="00BF50FD"/>
    <w:rsid w:val="00C0048A"/>
    <w:rsid w:val="00C020FA"/>
    <w:rsid w:val="00C04AC0"/>
    <w:rsid w:val="00C11212"/>
    <w:rsid w:val="00C14F13"/>
    <w:rsid w:val="00C15E00"/>
    <w:rsid w:val="00C17F85"/>
    <w:rsid w:val="00C2410E"/>
    <w:rsid w:val="00C260DB"/>
    <w:rsid w:val="00C32D14"/>
    <w:rsid w:val="00C3418B"/>
    <w:rsid w:val="00C40035"/>
    <w:rsid w:val="00C445C5"/>
    <w:rsid w:val="00C53570"/>
    <w:rsid w:val="00C571E4"/>
    <w:rsid w:val="00C626EA"/>
    <w:rsid w:val="00C6278A"/>
    <w:rsid w:val="00C62C02"/>
    <w:rsid w:val="00C674F8"/>
    <w:rsid w:val="00C76423"/>
    <w:rsid w:val="00C80729"/>
    <w:rsid w:val="00C819A1"/>
    <w:rsid w:val="00C840E0"/>
    <w:rsid w:val="00C87713"/>
    <w:rsid w:val="00C90F7F"/>
    <w:rsid w:val="00C92AA6"/>
    <w:rsid w:val="00C931B7"/>
    <w:rsid w:val="00C95B79"/>
    <w:rsid w:val="00C967C4"/>
    <w:rsid w:val="00CA6281"/>
    <w:rsid w:val="00CA7422"/>
    <w:rsid w:val="00CB18FD"/>
    <w:rsid w:val="00CB1F5F"/>
    <w:rsid w:val="00CB23E3"/>
    <w:rsid w:val="00CC0DBB"/>
    <w:rsid w:val="00CC3E6F"/>
    <w:rsid w:val="00CC7649"/>
    <w:rsid w:val="00CD01EA"/>
    <w:rsid w:val="00CD1083"/>
    <w:rsid w:val="00CD1654"/>
    <w:rsid w:val="00CD2178"/>
    <w:rsid w:val="00CD374F"/>
    <w:rsid w:val="00CD6150"/>
    <w:rsid w:val="00CE1738"/>
    <w:rsid w:val="00CE3007"/>
    <w:rsid w:val="00CE3C4A"/>
    <w:rsid w:val="00CE726C"/>
    <w:rsid w:val="00CF0EE9"/>
    <w:rsid w:val="00CF1B60"/>
    <w:rsid w:val="00CF6AC4"/>
    <w:rsid w:val="00D013DE"/>
    <w:rsid w:val="00D01852"/>
    <w:rsid w:val="00D04925"/>
    <w:rsid w:val="00D076AB"/>
    <w:rsid w:val="00D21C8A"/>
    <w:rsid w:val="00D26351"/>
    <w:rsid w:val="00D26A01"/>
    <w:rsid w:val="00D349A5"/>
    <w:rsid w:val="00D37B2C"/>
    <w:rsid w:val="00D37F04"/>
    <w:rsid w:val="00D429CF"/>
    <w:rsid w:val="00D4336F"/>
    <w:rsid w:val="00D515D4"/>
    <w:rsid w:val="00D54DCD"/>
    <w:rsid w:val="00D7191F"/>
    <w:rsid w:val="00D73229"/>
    <w:rsid w:val="00D76C6E"/>
    <w:rsid w:val="00D84133"/>
    <w:rsid w:val="00D903D1"/>
    <w:rsid w:val="00D91241"/>
    <w:rsid w:val="00D9376A"/>
    <w:rsid w:val="00D96CF8"/>
    <w:rsid w:val="00DA2B2F"/>
    <w:rsid w:val="00DA2CC3"/>
    <w:rsid w:val="00DA5DC2"/>
    <w:rsid w:val="00DB05A7"/>
    <w:rsid w:val="00DB294C"/>
    <w:rsid w:val="00DB53FB"/>
    <w:rsid w:val="00DB71DC"/>
    <w:rsid w:val="00DC1652"/>
    <w:rsid w:val="00DD05A3"/>
    <w:rsid w:val="00DD120C"/>
    <w:rsid w:val="00DD48E0"/>
    <w:rsid w:val="00DD501D"/>
    <w:rsid w:val="00DE02E7"/>
    <w:rsid w:val="00DE1900"/>
    <w:rsid w:val="00DE1EC4"/>
    <w:rsid w:val="00DE4381"/>
    <w:rsid w:val="00DE4A90"/>
    <w:rsid w:val="00DE4D89"/>
    <w:rsid w:val="00DF2AFA"/>
    <w:rsid w:val="00DF390C"/>
    <w:rsid w:val="00E016C6"/>
    <w:rsid w:val="00E03DAC"/>
    <w:rsid w:val="00E03FAD"/>
    <w:rsid w:val="00E06C4B"/>
    <w:rsid w:val="00E07082"/>
    <w:rsid w:val="00E12FF9"/>
    <w:rsid w:val="00E1656A"/>
    <w:rsid w:val="00E2290C"/>
    <w:rsid w:val="00E23C31"/>
    <w:rsid w:val="00E273D8"/>
    <w:rsid w:val="00E30E55"/>
    <w:rsid w:val="00E3372B"/>
    <w:rsid w:val="00E34861"/>
    <w:rsid w:val="00E36301"/>
    <w:rsid w:val="00E36860"/>
    <w:rsid w:val="00E41CC7"/>
    <w:rsid w:val="00E4597F"/>
    <w:rsid w:val="00E51274"/>
    <w:rsid w:val="00E61159"/>
    <w:rsid w:val="00E65226"/>
    <w:rsid w:val="00E72184"/>
    <w:rsid w:val="00E72AFE"/>
    <w:rsid w:val="00E74495"/>
    <w:rsid w:val="00E74FE0"/>
    <w:rsid w:val="00E7602F"/>
    <w:rsid w:val="00E8269B"/>
    <w:rsid w:val="00E87705"/>
    <w:rsid w:val="00E916ED"/>
    <w:rsid w:val="00E9461A"/>
    <w:rsid w:val="00E94B8D"/>
    <w:rsid w:val="00E95326"/>
    <w:rsid w:val="00EA0694"/>
    <w:rsid w:val="00EA2B7E"/>
    <w:rsid w:val="00EA6007"/>
    <w:rsid w:val="00EA6709"/>
    <w:rsid w:val="00EA7A58"/>
    <w:rsid w:val="00EB02BE"/>
    <w:rsid w:val="00EB06CD"/>
    <w:rsid w:val="00EB196F"/>
    <w:rsid w:val="00EB3209"/>
    <w:rsid w:val="00EC207A"/>
    <w:rsid w:val="00EC6427"/>
    <w:rsid w:val="00EC69F2"/>
    <w:rsid w:val="00EC7D3B"/>
    <w:rsid w:val="00ED0E36"/>
    <w:rsid w:val="00ED0EB4"/>
    <w:rsid w:val="00ED4EFA"/>
    <w:rsid w:val="00ED5FBB"/>
    <w:rsid w:val="00ED7A00"/>
    <w:rsid w:val="00EE073A"/>
    <w:rsid w:val="00EE1CF0"/>
    <w:rsid w:val="00EE1F21"/>
    <w:rsid w:val="00EE282D"/>
    <w:rsid w:val="00EE2EF7"/>
    <w:rsid w:val="00EE3242"/>
    <w:rsid w:val="00EE6991"/>
    <w:rsid w:val="00EF1EB5"/>
    <w:rsid w:val="00EF1EF3"/>
    <w:rsid w:val="00EF2D94"/>
    <w:rsid w:val="00EF6472"/>
    <w:rsid w:val="00F00ACC"/>
    <w:rsid w:val="00F02270"/>
    <w:rsid w:val="00F02398"/>
    <w:rsid w:val="00F0797A"/>
    <w:rsid w:val="00F1271D"/>
    <w:rsid w:val="00F150FC"/>
    <w:rsid w:val="00F214DC"/>
    <w:rsid w:val="00F25AC6"/>
    <w:rsid w:val="00F26780"/>
    <w:rsid w:val="00F32317"/>
    <w:rsid w:val="00F460A9"/>
    <w:rsid w:val="00F46ADF"/>
    <w:rsid w:val="00F53A95"/>
    <w:rsid w:val="00F55503"/>
    <w:rsid w:val="00F55F8B"/>
    <w:rsid w:val="00F571F7"/>
    <w:rsid w:val="00F57267"/>
    <w:rsid w:val="00F648CA"/>
    <w:rsid w:val="00F65892"/>
    <w:rsid w:val="00F80A34"/>
    <w:rsid w:val="00F81D7B"/>
    <w:rsid w:val="00F85894"/>
    <w:rsid w:val="00F9133E"/>
    <w:rsid w:val="00F931B6"/>
    <w:rsid w:val="00F93F5C"/>
    <w:rsid w:val="00F9634B"/>
    <w:rsid w:val="00FA0899"/>
    <w:rsid w:val="00FA2FBE"/>
    <w:rsid w:val="00FA3B66"/>
    <w:rsid w:val="00FA5B23"/>
    <w:rsid w:val="00FA7DB8"/>
    <w:rsid w:val="00FB03D7"/>
    <w:rsid w:val="00FB177C"/>
    <w:rsid w:val="00FB1818"/>
    <w:rsid w:val="00FB185A"/>
    <w:rsid w:val="00FC0012"/>
    <w:rsid w:val="00FC0220"/>
    <w:rsid w:val="00FC3805"/>
    <w:rsid w:val="00FC6964"/>
    <w:rsid w:val="00FD0118"/>
    <w:rsid w:val="00FD292A"/>
    <w:rsid w:val="00FE19FE"/>
    <w:rsid w:val="00FF0F02"/>
    <w:rsid w:val="00FF3539"/>
    <w:rsid w:val="00FF59E7"/>
    <w:rsid w:val="00FF5F6C"/>
    <w:rsid w:val="01F9BCAD"/>
    <w:rsid w:val="0247837F"/>
    <w:rsid w:val="02C16051"/>
    <w:rsid w:val="02E06BC2"/>
    <w:rsid w:val="03A54ADD"/>
    <w:rsid w:val="062F1F35"/>
    <w:rsid w:val="06683BE3"/>
    <w:rsid w:val="06FA202C"/>
    <w:rsid w:val="08F7ADCF"/>
    <w:rsid w:val="0A730DBC"/>
    <w:rsid w:val="0AD6E6CA"/>
    <w:rsid w:val="0B69A71E"/>
    <w:rsid w:val="0BB2DD5A"/>
    <w:rsid w:val="0BEC636B"/>
    <w:rsid w:val="0F685510"/>
    <w:rsid w:val="0F6C59DD"/>
    <w:rsid w:val="102BC518"/>
    <w:rsid w:val="1080EEA9"/>
    <w:rsid w:val="109DBB26"/>
    <w:rsid w:val="11423F7F"/>
    <w:rsid w:val="11CA9A68"/>
    <w:rsid w:val="16FED1C2"/>
    <w:rsid w:val="1797F482"/>
    <w:rsid w:val="199D8064"/>
    <w:rsid w:val="1A5A819C"/>
    <w:rsid w:val="1E11CDA0"/>
    <w:rsid w:val="1E7C3CA9"/>
    <w:rsid w:val="1E91DF8D"/>
    <w:rsid w:val="1EBB6773"/>
    <w:rsid w:val="1F9A0834"/>
    <w:rsid w:val="21745C0D"/>
    <w:rsid w:val="239ECED6"/>
    <w:rsid w:val="25FF2A8F"/>
    <w:rsid w:val="26318551"/>
    <w:rsid w:val="27CABF98"/>
    <w:rsid w:val="28DC77AE"/>
    <w:rsid w:val="2A692311"/>
    <w:rsid w:val="2C31AF81"/>
    <w:rsid w:val="2C641EE2"/>
    <w:rsid w:val="2FE657B3"/>
    <w:rsid w:val="30D70134"/>
    <w:rsid w:val="30F8A8FD"/>
    <w:rsid w:val="32375E0D"/>
    <w:rsid w:val="334B5CEC"/>
    <w:rsid w:val="3508475A"/>
    <w:rsid w:val="350D9E49"/>
    <w:rsid w:val="35D3BAE0"/>
    <w:rsid w:val="3807DB54"/>
    <w:rsid w:val="39D4A70D"/>
    <w:rsid w:val="3A23DB8F"/>
    <w:rsid w:val="3A7784B7"/>
    <w:rsid w:val="3C0E5B75"/>
    <w:rsid w:val="3E6FCDDA"/>
    <w:rsid w:val="3EF0EF45"/>
    <w:rsid w:val="40B52A9C"/>
    <w:rsid w:val="40E1CC98"/>
    <w:rsid w:val="44196D5A"/>
    <w:rsid w:val="44FB9E32"/>
    <w:rsid w:val="45414947"/>
    <w:rsid w:val="45B53DBB"/>
    <w:rsid w:val="46ABAC20"/>
    <w:rsid w:val="46CA6296"/>
    <w:rsid w:val="4735FF2A"/>
    <w:rsid w:val="490D0351"/>
    <w:rsid w:val="4AE39CE0"/>
    <w:rsid w:val="4B201345"/>
    <w:rsid w:val="4B28EBA9"/>
    <w:rsid w:val="4C616523"/>
    <w:rsid w:val="4C6638BD"/>
    <w:rsid w:val="4ECBDE24"/>
    <w:rsid w:val="4F3C1122"/>
    <w:rsid w:val="4FDEB560"/>
    <w:rsid w:val="5147C562"/>
    <w:rsid w:val="52B5C056"/>
    <w:rsid w:val="535619C5"/>
    <w:rsid w:val="53C013BF"/>
    <w:rsid w:val="55FAB961"/>
    <w:rsid w:val="568BE4D3"/>
    <w:rsid w:val="57FAB792"/>
    <w:rsid w:val="5A4B4274"/>
    <w:rsid w:val="5B18DFB1"/>
    <w:rsid w:val="5B4E041E"/>
    <w:rsid w:val="5B552DE3"/>
    <w:rsid w:val="5B68D531"/>
    <w:rsid w:val="5F8943EB"/>
    <w:rsid w:val="633F5AFD"/>
    <w:rsid w:val="63CA43F6"/>
    <w:rsid w:val="64E67F25"/>
    <w:rsid w:val="662011A5"/>
    <w:rsid w:val="6F729F27"/>
    <w:rsid w:val="6FA1CC60"/>
    <w:rsid w:val="6FFBD9BA"/>
    <w:rsid w:val="6FFD93BD"/>
    <w:rsid w:val="756FB01C"/>
    <w:rsid w:val="7750F4C9"/>
    <w:rsid w:val="7752AAE7"/>
    <w:rsid w:val="77F89EAB"/>
    <w:rsid w:val="7A3C7199"/>
    <w:rsid w:val="7A4E6C5A"/>
    <w:rsid w:val="7AB35ED7"/>
    <w:rsid w:val="7B82757A"/>
    <w:rsid w:val="7C1EE04A"/>
    <w:rsid w:val="7D903488"/>
    <w:rsid w:val="7DE8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3D07"/>
  <w15:chartTrackingRefBased/>
  <w15:docId w15:val="{6842AACC-DAF0-4900-ADF6-61013852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1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9FE"/>
  </w:style>
  <w:style w:type="character" w:customStyle="1" w:styleId="eop">
    <w:name w:val="eop"/>
    <w:basedOn w:val="DefaultParagraphFont"/>
    <w:rsid w:val="00FE19FE"/>
  </w:style>
  <w:style w:type="character" w:styleId="Hyperlink">
    <w:name w:val="Hyperlink"/>
    <w:basedOn w:val="DefaultParagraphFont"/>
    <w:uiPriority w:val="99"/>
    <w:unhideWhenUsed/>
    <w:rsid w:val="00C17F85"/>
    <w:rPr>
      <w:color w:val="0563C1" w:themeColor="hyperlink"/>
      <w:u w:val="single"/>
    </w:rPr>
  </w:style>
  <w:style w:type="character" w:styleId="UnresolvedMention">
    <w:name w:val="Unresolved Mention"/>
    <w:basedOn w:val="DefaultParagraphFont"/>
    <w:uiPriority w:val="99"/>
    <w:unhideWhenUsed/>
    <w:rsid w:val="00C17F85"/>
    <w:rPr>
      <w:color w:val="605E5C"/>
      <w:shd w:val="clear" w:color="auto" w:fill="E1DFDD"/>
    </w:rPr>
  </w:style>
  <w:style w:type="paragraph" w:styleId="Revision">
    <w:name w:val="Revision"/>
    <w:hidden/>
    <w:uiPriority w:val="99"/>
    <w:semiHidden/>
    <w:rsid w:val="00146B3E"/>
    <w:pPr>
      <w:spacing w:after="0" w:line="240" w:lineRule="auto"/>
    </w:pPr>
  </w:style>
  <w:style w:type="character" w:styleId="CommentReference">
    <w:name w:val="annotation reference"/>
    <w:basedOn w:val="DefaultParagraphFont"/>
    <w:uiPriority w:val="99"/>
    <w:semiHidden/>
    <w:unhideWhenUsed/>
    <w:rsid w:val="00122B0D"/>
    <w:rPr>
      <w:sz w:val="16"/>
      <w:szCs w:val="16"/>
    </w:rPr>
  </w:style>
  <w:style w:type="paragraph" w:styleId="CommentText">
    <w:name w:val="annotation text"/>
    <w:basedOn w:val="Normal"/>
    <w:link w:val="CommentTextChar"/>
    <w:uiPriority w:val="99"/>
    <w:unhideWhenUsed/>
    <w:rsid w:val="00122B0D"/>
    <w:pPr>
      <w:spacing w:line="240" w:lineRule="auto"/>
    </w:pPr>
    <w:rPr>
      <w:sz w:val="20"/>
      <w:szCs w:val="20"/>
    </w:rPr>
  </w:style>
  <w:style w:type="character" w:customStyle="1" w:styleId="CommentTextChar">
    <w:name w:val="Comment Text Char"/>
    <w:basedOn w:val="DefaultParagraphFont"/>
    <w:link w:val="CommentText"/>
    <w:uiPriority w:val="99"/>
    <w:rsid w:val="00122B0D"/>
    <w:rPr>
      <w:sz w:val="20"/>
      <w:szCs w:val="20"/>
    </w:rPr>
  </w:style>
  <w:style w:type="paragraph" w:styleId="CommentSubject">
    <w:name w:val="annotation subject"/>
    <w:basedOn w:val="CommentText"/>
    <w:next w:val="CommentText"/>
    <w:link w:val="CommentSubjectChar"/>
    <w:uiPriority w:val="99"/>
    <w:semiHidden/>
    <w:unhideWhenUsed/>
    <w:rsid w:val="00122B0D"/>
    <w:rPr>
      <w:b/>
      <w:bCs/>
    </w:rPr>
  </w:style>
  <w:style w:type="character" w:customStyle="1" w:styleId="CommentSubjectChar">
    <w:name w:val="Comment Subject Char"/>
    <w:basedOn w:val="CommentTextChar"/>
    <w:link w:val="CommentSubject"/>
    <w:uiPriority w:val="99"/>
    <w:semiHidden/>
    <w:rsid w:val="00122B0D"/>
    <w:rPr>
      <w:b/>
      <w:bCs/>
      <w:sz w:val="20"/>
      <w:szCs w:val="20"/>
    </w:rPr>
  </w:style>
  <w:style w:type="character" w:styleId="Mention">
    <w:name w:val="Mention"/>
    <w:basedOn w:val="DefaultParagraphFont"/>
    <w:uiPriority w:val="99"/>
    <w:unhideWhenUsed/>
    <w:rsid w:val="0033445C"/>
    <w:rPr>
      <w:color w:val="2B579A"/>
      <w:shd w:val="clear" w:color="auto" w:fill="E1DFDD"/>
    </w:rPr>
  </w:style>
  <w:style w:type="paragraph" w:styleId="Header">
    <w:name w:val="header"/>
    <w:basedOn w:val="Normal"/>
    <w:link w:val="HeaderChar"/>
    <w:uiPriority w:val="99"/>
    <w:unhideWhenUsed/>
    <w:rsid w:val="00E6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59"/>
  </w:style>
  <w:style w:type="paragraph" w:styleId="Footer">
    <w:name w:val="footer"/>
    <w:basedOn w:val="Normal"/>
    <w:link w:val="FooterChar"/>
    <w:uiPriority w:val="99"/>
    <w:unhideWhenUsed/>
    <w:rsid w:val="00E6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59"/>
  </w:style>
  <w:style w:type="character" w:customStyle="1" w:styleId="ui-provider">
    <w:name w:val="ui-provider"/>
    <w:basedOn w:val="DefaultParagraphFont"/>
    <w:rsid w:val="00404225"/>
  </w:style>
  <w:style w:type="paragraph" w:styleId="ListParagraph">
    <w:name w:val="List Paragraph"/>
    <w:basedOn w:val="Normal"/>
    <w:uiPriority w:val="34"/>
    <w:qFormat/>
    <w:rsid w:val="00442C4B"/>
    <w:pPr>
      <w:ind w:left="720"/>
      <w:contextualSpacing/>
    </w:pPr>
  </w:style>
  <w:style w:type="numbering" w:customStyle="1" w:styleId="SAPCprocedures">
    <w:name w:val="SAPC procedures"/>
    <w:uiPriority w:val="99"/>
    <w:rsid w:val="00DB05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7925">
      <w:bodyDiv w:val="1"/>
      <w:marLeft w:val="0"/>
      <w:marRight w:val="0"/>
      <w:marTop w:val="0"/>
      <w:marBottom w:val="0"/>
      <w:divBdr>
        <w:top w:val="none" w:sz="0" w:space="0" w:color="auto"/>
        <w:left w:val="none" w:sz="0" w:space="0" w:color="auto"/>
        <w:bottom w:val="none" w:sz="0" w:space="0" w:color="auto"/>
        <w:right w:val="none" w:sz="0" w:space="0" w:color="auto"/>
      </w:divBdr>
    </w:div>
    <w:div w:id="399523470">
      <w:bodyDiv w:val="1"/>
      <w:marLeft w:val="0"/>
      <w:marRight w:val="0"/>
      <w:marTop w:val="0"/>
      <w:marBottom w:val="0"/>
      <w:divBdr>
        <w:top w:val="none" w:sz="0" w:space="0" w:color="auto"/>
        <w:left w:val="none" w:sz="0" w:space="0" w:color="auto"/>
        <w:bottom w:val="none" w:sz="0" w:space="0" w:color="auto"/>
        <w:right w:val="none" w:sz="0" w:space="0" w:color="auto"/>
      </w:divBdr>
    </w:div>
    <w:div w:id="400832359">
      <w:bodyDiv w:val="1"/>
      <w:marLeft w:val="0"/>
      <w:marRight w:val="0"/>
      <w:marTop w:val="0"/>
      <w:marBottom w:val="0"/>
      <w:divBdr>
        <w:top w:val="none" w:sz="0" w:space="0" w:color="auto"/>
        <w:left w:val="none" w:sz="0" w:space="0" w:color="auto"/>
        <w:bottom w:val="none" w:sz="0" w:space="0" w:color="auto"/>
        <w:right w:val="none" w:sz="0" w:space="0" w:color="auto"/>
      </w:divBdr>
    </w:div>
    <w:div w:id="975644899">
      <w:bodyDiv w:val="1"/>
      <w:marLeft w:val="0"/>
      <w:marRight w:val="0"/>
      <w:marTop w:val="0"/>
      <w:marBottom w:val="0"/>
      <w:divBdr>
        <w:top w:val="none" w:sz="0" w:space="0" w:color="auto"/>
        <w:left w:val="none" w:sz="0" w:space="0" w:color="auto"/>
        <w:bottom w:val="none" w:sz="0" w:space="0" w:color="auto"/>
        <w:right w:val="none" w:sz="0" w:space="0" w:color="auto"/>
      </w:divBdr>
    </w:div>
    <w:div w:id="1025712395">
      <w:bodyDiv w:val="1"/>
      <w:marLeft w:val="0"/>
      <w:marRight w:val="0"/>
      <w:marTop w:val="0"/>
      <w:marBottom w:val="0"/>
      <w:divBdr>
        <w:top w:val="none" w:sz="0" w:space="0" w:color="auto"/>
        <w:left w:val="none" w:sz="0" w:space="0" w:color="auto"/>
        <w:bottom w:val="none" w:sz="0" w:space="0" w:color="auto"/>
        <w:right w:val="none" w:sz="0" w:space="0" w:color="auto"/>
      </w:divBdr>
    </w:div>
    <w:div w:id="1447651300">
      <w:bodyDiv w:val="1"/>
      <w:marLeft w:val="0"/>
      <w:marRight w:val="0"/>
      <w:marTop w:val="0"/>
      <w:marBottom w:val="0"/>
      <w:divBdr>
        <w:top w:val="none" w:sz="0" w:space="0" w:color="auto"/>
        <w:left w:val="none" w:sz="0" w:space="0" w:color="auto"/>
        <w:bottom w:val="none" w:sz="0" w:space="0" w:color="auto"/>
        <w:right w:val="none" w:sz="0" w:space="0" w:color="auto"/>
      </w:divBdr>
      <w:divsChild>
        <w:div w:id="1019508690">
          <w:marLeft w:val="0"/>
          <w:marRight w:val="0"/>
          <w:marTop w:val="0"/>
          <w:marBottom w:val="0"/>
          <w:divBdr>
            <w:top w:val="none" w:sz="0" w:space="0" w:color="auto"/>
            <w:left w:val="none" w:sz="0" w:space="0" w:color="auto"/>
            <w:bottom w:val="none" w:sz="0" w:space="0" w:color="auto"/>
            <w:right w:val="none" w:sz="0" w:space="0" w:color="auto"/>
          </w:divBdr>
        </w:div>
        <w:div w:id="15900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rosby@ph.la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t.westlaw.com/calregs/Document/I630BEBA34C6B11EC93A8000D3A7C4BC3?viewType=FullText&amp;originationContext=documenttoc&amp;transitionType=CategoryPageItem&amp;contextData=(sc.Default)%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t.westlaw.com/calregs/Document/I630BEBA34C6B11EC93A8000D3A7C4BC3?viewType=FullText&amp;originationContext=documenttoc&amp;transitionType=CategoryPageItem&amp;contextData=(sc.Default)%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health.lacounty.gov/sapc/providers/manuals-bulletins-and-forms.htm?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e18bf7d86a0c8c8124e351003f16524e">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f08a305042c755fc513aa1c41494353b"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D7840-DA27-45E2-917A-899B56BFBAFB}">
  <ds:schemaRefs>
    <ds:schemaRef ds:uri="http://schemas.openxmlformats.org/officeDocument/2006/bibliography"/>
  </ds:schemaRefs>
</ds:datastoreItem>
</file>

<file path=customXml/itemProps2.xml><?xml version="1.0" encoding="utf-8"?>
<ds:datastoreItem xmlns:ds="http://schemas.openxmlformats.org/officeDocument/2006/customXml" ds:itemID="{CA4E41B0-063D-40DE-8282-B80FFC154E5E}">
  <ds:schemaRefs>
    <ds:schemaRef ds:uri="http://purl.org/dc/dcmitype/"/>
    <ds:schemaRef ds:uri="http://schemas.microsoft.com/office/2006/documentManagement/types"/>
    <ds:schemaRef ds:uri="bba16c0c-a46f-4a33-98cd-9f5b32e4bde3"/>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c617a273-967d-4d65-889b-3e91b1ea420d"/>
  </ds:schemaRefs>
</ds:datastoreItem>
</file>

<file path=customXml/itemProps3.xml><?xml version="1.0" encoding="utf-8"?>
<ds:datastoreItem xmlns:ds="http://schemas.openxmlformats.org/officeDocument/2006/customXml" ds:itemID="{83532E58-ECD3-49D9-A929-A6870C59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5DD69-EE86-4230-97FA-A54626F86256}">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31383</CharactersWithSpaces>
  <SharedDoc>false</SharedDoc>
  <HLinks>
    <vt:vector size="24" baseType="variant">
      <vt:variant>
        <vt:i4>2424929</vt:i4>
      </vt:variant>
      <vt:variant>
        <vt:i4>9</vt:i4>
      </vt:variant>
      <vt:variant>
        <vt:i4>0</vt:i4>
      </vt:variant>
      <vt:variant>
        <vt:i4>5</vt:i4>
      </vt:variant>
      <vt:variant>
        <vt:lpwstr>http://publichealth.lacounty.gov/sapc/providers/manuals-bulletins-and-forms.htm?tm</vt:lpwstr>
      </vt:variant>
      <vt:variant>
        <vt:lpwstr>clinical</vt:lpwstr>
      </vt:variant>
      <vt:variant>
        <vt:i4>2228291</vt:i4>
      </vt:variant>
      <vt:variant>
        <vt:i4>6</vt:i4>
      </vt:variant>
      <vt:variant>
        <vt:i4>0</vt:i4>
      </vt:variant>
      <vt:variant>
        <vt:i4>5</vt:i4>
      </vt:variant>
      <vt:variant>
        <vt:lpwstr>mailto:ncrosby@ph.lacounty.gov</vt:lpwstr>
      </vt:variant>
      <vt:variant>
        <vt:lpwstr/>
      </vt:variant>
      <vt:variant>
        <vt:i4>917505</vt:i4>
      </vt:variant>
      <vt:variant>
        <vt:i4>3</vt:i4>
      </vt:variant>
      <vt:variant>
        <vt:i4>0</vt:i4>
      </vt:variant>
      <vt:variant>
        <vt:i4>5</vt:i4>
      </vt:variant>
      <vt:variant>
        <vt:lpwstr>https://govt.westlaw.com/calregs/Document/I630BEBA34C6B11EC93A8000D3A7C4BC3?viewType=FullText&amp;originationContext=documenttoc&amp;transitionType=CategoryPageItem&amp;contextData=(sc.Default)%20</vt:lpwstr>
      </vt:variant>
      <vt:variant>
        <vt:lpwstr/>
      </vt:variant>
      <vt:variant>
        <vt:i4>917505</vt:i4>
      </vt:variant>
      <vt:variant>
        <vt:i4>0</vt:i4>
      </vt:variant>
      <vt:variant>
        <vt:i4>0</vt:i4>
      </vt:variant>
      <vt:variant>
        <vt:i4>5</vt:i4>
      </vt:variant>
      <vt:variant>
        <vt:lpwstr>https://govt.westlaw.com/calregs/Document/I630BEBA34C6B11EC93A8000D3A7C4BC3?viewType=FullText&amp;originationContext=documenttoc&amp;transitionType=CategoryPageItem&amp;contextData=(sc.Default)%20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Chavez</dc:creator>
  <cp:keywords/>
  <dc:description/>
  <cp:lastModifiedBy>Michelle Gibson</cp:lastModifiedBy>
  <cp:revision>2</cp:revision>
  <dcterms:created xsi:type="dcterms:W3CDTF">2024-02-20T17:34:00Z</dcterms:created>
  <dcterms:modified xsi:type="dcterms:W3CDTF">2024-02-20T17:34:00Z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ies>
</file>