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01" w:rsidRDefault="00330501"/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75"/>
        <w:gridCol w:w="630"/>
        <w:gridCol w:w="1260"/>
        <w:gridCol w:w="810"/>
        <w:gridCol w:w="1260"/>
      </w:tblGrid>
      <w:tr w:rsidR="00AF2F7C" w:rsidRPr="00AF2F7C" w:rsidTr="00B21229">
        <w:tc>
          <w:tcPr>
            <w:tcW w:w="9835" w:type="dxa"/>
            <w:gridSpan w:val="5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Outbreak Interventions</w:t>
            </w:r>
          </w:p>
        </w:tc>
      </w:tr>
      <w:tr w:rsidR="00AF2F7C" w:rsidRPr="00AF2F7C" w:rsidTr="00AF2F7C">
        <w:tc>
          <w:tcPr>
            <w:tcW w:w="5875" w:type="dxa"/>
            <w:shd w:val="clear" w:color="auto" w:fill="EEECE1"/>
          </w:tcPr>
          <w:p w:rsidR="00AF2F7C" w:rsidRPr="00AF2F7C" w:rsidRDefault="00AF2F7C" w:rsidP="00AF2F7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Communication</w:t>
            </w:r>
          </w:p>
        </w:tc>
        <w:tc>
          <w:tcPr>
            <w:tcW w:w="63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N/A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 xml:space="preserve">Completed </w:t>
            </w:r>
          </w:p>
        </w:tc>
        <w:tc>
          <w:tcPr>
            <w:tcW w:w="81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Date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Signature</w:t>
            </w:r>
          </w:p>
        </w:tc>
      </w:tr>
      <w:tr w:rsidR="00AF2F7C" w:rsidRPr="00AF2F7C" w:rsidTr="00B21229">
        <w:trPr>
          <w:trHeight w:val="368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Facility administration notified.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Facility infection control team notified.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Meet with key staff to coordinate control measures. 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Outbreaks are reportable immediately by phone to:</w:t>
            </w:r>
          </w:p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Morbidity Unit: (888) 397-3993 or Fax: (888) 397- </w:t>
            </w:r>
          </w:p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3778.</w:t>
            </w:r>
          </w:p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*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After business hours, outbreaks should be reported through the County of Los Angeles operator at (213) 974-1234.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Outbreaks are reportable to California Department of Public Health Licensing &amp; Certification local office–County of Los Angeles Health Facilities Inspection Division</w:t>
            </w:r>
          </w:p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hyperlink r:id="rId7" w:history="1">
              <w:r w:rsidRPr="00AF2F7C">
                <w:rPr>
                  <w:rFonts w:ascii="Calibri" w:eastAsia="Batang" w:hAnsi="Calibri" w:cs="Arial"/>
                  <w:color w:val="0000FF"/>
                  <w:sz w:val="24"/>
                  <w:szCs w:val="24"/>
                  <w:u w:val="single"/>
                  <w:lang w:eastAsia="ko-KR"/>
                </w:rPr>
                <w:t>http://publichealth.lacounty.gov/hfd/howto.htm</w:t>
              </w:r>
            </w:hyperlink>
            <w:r w:rsidRPr="00AF2F7C">
              <w:rPr>
                <w:rFonts w:ascii="Calibri" w:eastAsia="Batang" w:hAnsi="Calibri" w:cs="Arial"/>
                <w:color w:val="0000FF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287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Residents and relatives/visitors notified. 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386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Stay in close communication with the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DPHN</w:t>
            </w:r>
            <w:r w:rsidRPr="00AF2F7C">
              <w:rPr>
                <w:rFonts w:ascii="Calibri" w:eastAsia="Calibri" w:hAnsi="Calibri" w:cs="Times New Roman"/>
              </w:rPr>
              <w:t xml:space="preserve">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assigned to the facility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throughout the outbreak.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386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Facility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u w:val="single"/>
                <w:lang w:eastAsia="ko-KR"/>
              </w:rPr>
              <w:t>closed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to new/returning admissions –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consult with the DPHN</w:t>
            </w:r>
            <w:r w:rsidRPr="00AF2F7C">
              <w:rPr>
                <w:rFonts w:ascii="Calibri" w:eastAsia="Calibri" w:hAnsi="Calibri" w:cs="Times New Roman"/>
              </w:rPr>
              <w:t xml:space="preserve">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assigned to the facility.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359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Facility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u w:val="single"/>
                <w:lang w:eastAsia="ko-KR"/>
              </w:rPr>
              <w:t>reopened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to new/returning admissions-</w:t>
            </w:r>
            <w:r w:rsidRPr="00AF2F7C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consult with the DPHN</w:t>
            </w:r>
            <w:r w:rsidRPr="00AF2F7C">
              <w:rPr>
                <w:rFonts w:ascii="Calibri" w:eastAsia="Calibri" w:hAnsi="Calibri" w:cs="Times New Roman"/>
              </w:rPr>
              <w:t xml:space="preserve">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assigned to the facility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AF2F7C">
        <w:trPr>
          <w:trHeight w:val="216"/>
        </w:trPr>
        <w:tc>
          <w:tcPr>
            <w:tcW w:w="5875" w:type="dxa"/>
            <w:shd w:val="clear" w:color="auto" w:fill="EEECE1"/>
          </w:tcPr>
          <w:p w:rsidR="00AF2F7C" w:rsidRPr="00AF2F7C" w:rsidRDefault="00AF2F7C" w:rsidP="00AF2F7C">
            <w:pPr>
              <w:numPr>
                <w:ilvl w:val="1"/>
                <w:numId w:val="1"/>
              </w:num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Investigation and Monitoring</w:t>
            </w:r>
          </w:p>
        </w:tc>
        <w:tc>
          <w:tcPr>
            <w:tcW w:w="63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N/A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 xml:space="preserve">Completed </w:t>
            </w:r>
          </w:p>
        </w:tc>
        <w:tc>
          <w:tcPr>
            <w:tcW w:w="81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Date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Signature</w:t>
            </w: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Symptomatic HCP removed from work and referred to Employee Health and/or evaluated by a clinician.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Residents evaluated for influenza and placed in droplet isolation.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305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Map cases on facility floor plan.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305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Confirm influenza in symptomatic residents and staff.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608"/>
        </w:trPr>
        <w:tc>
          <w:tcPr>
            <w:tcW w:w="5875" w:type="dxa"/>
            <w:vMerge w:val="restart"/>
          </w:tcPr>
          <w:p w:rsidR="00AF2F7C" w:rsidRPr="00AF2F7C" w:rsidRDefault="00AF2F7C" w:rsidP="00AF2F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Use a “Line List”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(Appendix D)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to track symptomatic residents and staff, and contacts.</w:t>
            </w:r>
          </w:p>
          <w:p w:rsidR="00AF2F7C" w:rsidRPr="00AF2F7C" w:rsidRDefault="00AF2F7C" w:rsidP="00AF2F7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Symptomatic Resident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line list completed</w:t>
            </w:r>
          </w:p>
          <w:p w:rsidR="00AF2F7C" w:rsidRPr="00AF2F7C" w:rsidRDefault="00AF2F7C" w:rsidP="00AF2F7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Contacts to</w:t>
            </w:r>
            <w:r w:rsidRPr="00AF2F7C">
              <w:rPr>
                <w:rFonts w:ascii="Calibri" w:eastAsia="Calibri" w:hAnsi="Calibri" w:cs="Times New Roman"/>
              </w:rPr>
              <w:t xml:space="preserve"> 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symptomatic resident line list completed </w:t>
            </w:r>
          </w:p>
          <w:p w:rsidR="00AF2F7C" w:rsidRPr="00AF2F7C" w:rsidRDefault="00AF2F7C" w:rsidP="00AF2F7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Symptomatic Staff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line list completed</w:t>
            </w:r>
          </w:p>
          <w:p w:rsidR="00AF2F7C" w:rsidRPr="00AF2F7C" w:rsidRDefault="00AF2F7C" w:rsidP="00AF2F7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Contacts to symptomatic staff line list completed</w:t>
            </w:r>
          </w:p>
        </w:tc>
        <w:tc>
          <w:tcPr>
            <w:tcW w:w="3960" w:type="dxa"/>
            <w:gridSpan w:val="4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  <w:vMerge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593"/>
        </w:trPr>
        <w:tc>
          <w:tcPr>
            <w:tcW w:w="5875" w:type="dxa"/>
            <w:vMerge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  <w:vMerge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  <w:vMerge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Daily Influenza-Like Illness (ILI) assessments on residents and staff</w:t>
            </w:r>
            <w:r w:rsidRPr="00AF2F7C">
              <w:rPr>
                <w:rFonts w:ascii="Calibri" w:eastAsia="Calibri" w:hAnsi="Calibri" w:cs="Times New Roman"/>
              </w:rPr>
              <w:t xml:space="preserve"> 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and report all new cases to LAC 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lastRenderedPageBreak/>
              <w:t xml:space="preserve">DPH CHS DPHN assigned to the facility daily </w:t>
            </w:r>
            <w:r w:rsidRPr="00AF2F7C">
              <w:rPr>
                <w:rFonts w:ascii="Calibri" w:eastAsia="Batang" w:hAnsi="Calibri" w:cs="Arial"/>
                <w:sz w:val="24"/>
                <w:szCs w:val="24"/>
                <w:u w:val="single"/>
                <w:lang w:eastAsia="ko-KR"/>
              </w:rPr>
              <w:t>using the ‘Line List’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AF2F7C">
        <w:tc>
          <w:tcPr>
            <w:tcW w:w="5875" w:type="dxa"/>
            <w:shd w:val="clear" w:color="auto" w:fill="EEECE1"/>
          </w:tcPr>
          <w:p w:rsidR="00AF2F7C" w:rsidRPr="00AF2F7C" w:rsidRDefault="00AF2F7C" w:rsidP="00AF2F7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lastRenderedPageBreak/>
              <w:t>Treatment</w:t>
            </w:r>
          </w:p>
        </w:tc>
        <w:tc>
          <w:tcPr>
            <w:tcW w:w="63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N/A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 xml:space="preserve">Completed </w:t>
            </w:r>
          </w:p>
        </w:tc>
        <w:tc>
          <w:tcPr>
            <w:tcW w:w="81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Date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Signature</w:t>
            </w: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Symptomatic residents/staff treated with Influenza antiviral treatment. 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287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Chemoprophylaxis offered to residents and staff.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287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Administer the current season’s influenza vaccine to unvaccinated residents and staff unless contraindicated or refused.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AF2F7C">
        <w:trPr>
          <w:trHeight w:val="269"/>
        </w:trPr>
        <w:tc>
          <w:tcPr>
            <w:tcW w:w="5875" w:type="dxa"/>
            <w:shd w:val="clear" w:color="auto" w:fill="EEECE1"/>
          </w:tcPr>
          <w:p w:rsidR="00AF2F7C" w:rsidRPr="00AF2F7C" w:rsidRDefault="00AF2F7C" w:rsidP="00AF2F7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 xml:space="preserve">Specimen Collection </w:t>
            </w:r>
          </w:p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(see Section V. CONFIRM DIAGNOSIS BY LABORATORY TESTING)</w:t>
            </w:r>
          </w:p>
        </w:tc>
        <w:tc>
          <w:tcPr>
            <w:tcW w:w="63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N/A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 xml:space="preserve">Completed </w:t>
            </w:r>
          </w:p>
        </w:tc>
        <w:tc>
          <w:tcPr>
            <w:tcW w:w="81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Date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Signature</w:t>
            </w:r>
          </w:p>
        </w:tc>
      </w:tr>
      <w:tr w:rsidR="00AF2F7C" w:rsidRPr="00AF2F7C" w:rsidTr="00B21229">
        <w:trPr>
          <w:trHeight w:val="458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Respiratory specimens (i.e., nasal swabs, throat swabs, nasopharyngeal swab, or nasopharyngeal or nasal aspirates) should be collected within the first 4 days of onset of symptoms. </w:t>
            </w:r>
          </w:p>
          <w:p w:rsidR="00AF2F7C" w:rsidRPr="00AF2F7C" w:rsidRDefault="00AF2F7C" w:rsidP="00AF2F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Collect specimens from at </w:t>
            </w:r>
            <w:r w:rsidRPr="00AF2F7C">
              <w:rPr>
                <w:rFonts w:ascii="Calibri" w:eastAsia="Batang" w:hAnsi="Calibri" w:cs="Arial"/>
                <w:sz w:val="24"/>
                <w:szCs w:val="24"/>
                <w:u w:val="single"/>
                <w:lang w:eastAsia="ko-KR"/>
              </w:rPr>
              <w:t xml:space="preserve">least 2 separate and up to 5 symptomatic individuals 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who have not yet received antiviral treatment. </w:t>
            </w:r>
          </w:p>
          <w:p w:rsidR="00AF2F7C" w:rsidRPr="00AF2F7C" w:rsidRDefault="00AF2F7C" w:rsidP="00AF2F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u w:val="single"/>
                <w:lang w:eastAsia="ko-KR"/>
              </w:rPr>
              <w:t>Nasopharyngeal (NP) swabs are preferred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because the specimens can be tested for influenza and a variety of other respiratory pathogens using PCR based technology.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AF2F7C">
        <w:tc>
          <w:tcPr>
            <w:tcW w:w="5875" w:type="dxa"/>
            <w:shd w:val="clear" w:color="auto" w:fill="EEECE1"/>
          </w:tcPr>
          <w:p w:rsidR="00AF2F7C" w:rsidRPr="00AF2F7C" w:rsidRDefault="00AF2F7C" w:rsidP="00AF2F7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 xml:space="preserve">Infection Control </w:t>
            </w:r>
          </w:p>
        </w:tc>
        <w:tc>
          <w:tcPr>
            <w:tcW w:w="63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N/A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 xml:space="preserve">Completed </w:t>
            </w:r>
          </w:p>
        </w:tc>
        <w:tc>
          <w:tcPr>
            <w:tcW w:w="81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Date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Signature</w:t>
            </w: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Use standard and droplet precautions. 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Enhanced environmental cleaning done throughout the outbreak period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(For more details, see Appendix C).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 </w:t>
            </w:r>
          </w:p>
          <w:p w:rsidR="00AF2F7C" w:rsidRPr="00AF2F7C" w:rsidRDefault="00AF2F7C" w:rsidP="00AF2F7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Antimicrobial Products Registered for Use Against Influenza A Virus on Hard Surfaces</w:t>
            </w:r>
          </w:p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Batang" w:hAnsi="Calibri" w:cs="Arial"/>
                <w:sz w:val="24"/>
                <w:szCs w:val="24"/>
                <w:u w:val="single"/>
                <w:lang w:eastAsia="ko-KR"/>
              </w:rPr>
            </w:pPr>
            <w:hyperlink r:id="rId8" w:history="1">
              <w:r w:rsidRPr="00AF2F7C">
                <w:rPr>
                  <w:rFonts w:ascii="Calibri" w:eastAsia="Batang" w:hAnsi="Calibri" w:cs="Arial"/>
                  <w:color w:val="0000FF"/>
                  <w:sz w:val="24"/>
                  <w:szCs w:val="24"/>
                  <w:u w:val="single"/>
                  <w:lang w:eastAsia="ko-KR"/>
                </w:rPr>
                <w:t>http://www.epa.gov/oppad001/influenza-a-product-list.pdf</w:t>
              </w:r>
            </w:hyperlink>
            <w:r w:rsidRPr="00AF2F7C">
              <w:rPr>
                <w:rFonts w:ascii="Calibri" w:eastAsia="Batang" w:hAnsi="Calibri" w:cs="Arial"/>
                <w:sz w:val="24"/>
                <w:szCs w:val="24"/>
                <w:u w:val="single"/>
                <w:lang w:eastAsia="ko-KR"/>
              </w:rPr>
              <w:t xml:space="preserve"> or</w:t>
            </w:r>
            <w:r w:rsidRPr="00AF2F7C">
              <w:rPr>
                <w:rFonts w:ascii="Calibri" w:eastAsia="Batang" w:hAnsi="Calibri" w:cs="Arial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AF2F7C">
                <w:rPr>
                  <w:rFonts w:ascii="Calibri" w:eastAsia="Batang" w:hAnsi="Calibri" w:cs="Arial"/>
                  <w:color w:val="0000FF"/>
                  <w:sz w:val="24"/>
                  <w:szCs w:val="24"/>
                  <w:u w:val="single"/>
                </w:rPr>
                <w:t>http://www.epa.gov/oppad001/influenza-disinfectants.html</w:t>
              </w:r>
            </w:hyperlink>
            <w:r w:rsidRPr="00AF2F7C">
              <w:rPr>
                <w:rFonts w:ascii="Calibri" w:eastAsia="Batang" w:hAnsi="Calibri" w:cs="Arial"/>
                <w:color w:val="000000"/>
                <w:sz w:val="24"/>
                <w:szCs w:val="24"/>
              </w:rPr>
              <w:t>.</w:t>
            </w:r>
            <w:r w:rsidRPr="00AF2F7C">
              <w:rPr>
                <w:rFonts w:ascii="Calibri" w:eastAsia="Batang" w:hAnsi="Calibri" w:cs="Arial"/>
                <w:sz w:val="24"/>
                <w:szCs w:val="24"/>
                <w:u w:val="single"/>
                <w:lang w:eastAsia="ko-KR"/>
              </w:rPr>
              <w:t xml:space="preserve"> 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827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Respiratory isolation–Symptomatic residents confined to their rooms (cohort ill residents together if possible). 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rPr>
          <w:trHeight w:val="431"/>
        </w:trPr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Movement of all residents minimized.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Emphasize respiratory etiquette (cover cough and sneezes, dispose of tissues properly).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lastRenderedPageBreak/>
              <w:t>Limit staff movement between units. If staff have been exposed to ill residents, consider maintaining work assignment to same unit.</w:t>
            </w:r>
          </w:p>
          <w:p w:rsidR="00AF2F7C" w:rsidRPr="00AF2F7C" w:rsidRDefault="00AF2F7C" w:rsidP="00AF2F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Keep staff from “floating” between floors/units.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Identify staff’s outside employment status to prevent and control influenza outbreak.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Restrict</w:t>
            </w:r>
            <w:r w:rsidRPr="00AF2F7C">
              <w:rPr>
                <w:rFonts w:ascii="Calibri" w:eastAsia="Calibri" w:hAnsi="Calibri" w:cs="Times New Roman"/>
              </w:rPr>
              <w:t xml:space="preserve"> 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families/visitors visitation to the facility. 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Post ‘Respiratory Disease Outbreak Notification Alert’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(see Appendix E</w:t>
            </w:r>
            <w:r w:rsidRPr="00AF2F7C">
              <w:rPr>
                <w:rFonts w:ascii="Calibri" w:eastAsia="Calibri" w:hAnsi="Calibri" w:cs="Times New Roman"/>
                <w:b/>
              </w:rPr>
              <w:t xml:space="preserve"> </w:t>
            </w: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for a template)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AF2F7C">
        <w:tc>
          <w:tcPr>
            <w:tcW w:w="5875" w:type="dxa"/>
            <w:shd w:val="clear" w:color="auto" w:fill="EEECE1"/>
          </w:tcPr>
          <w:p w:rsidR="00AF2F7C" w:rsidRPr="00AF2F7C" w:rsidRDefault="00AF2F7C" w:rsidP="00AF2F7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  <w:t>Education</w:t>
            </w:r>
          </w:p>
        </w:tc>
        <w:tc>
          <w:tcPr>
            <w:tcW w:w="63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N/A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 xml:space="preserve">Completed </w:t>
            </w:r>
          </w:p>
        </w:tc>
        <w:tc>
          <w:tcPr>
            <w:tcW w:w="81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Date</w:t>
            </w:r>
          </w:p>
        </w:tc>
        <w:tc>
          <w:tcPr>
            <w:tcW w:w="1260" w:type="dxa"/>
            <w:shd w:val="clear" w:color="auto" w:fill="EEECE1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ko-KR"/>
              </w:rPr>
            </w:pPr>
            <w:r w:rsidRPr="00AF2F7C">
              <w:rPr>
                <w:rFonts w:ascii="Calibri" w:eastAsia="Batang" w:hAnsi="Calibri" w:cs="Arial"/>
                <w:b/>
                <w:lang w:eastAsia="ko-KR"/>
              </w:rPr>
              <w:t>Signature</w:t>
            </w: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Provide training to all staff on the signs and symptoms</w:t>
            </w:r>
            <w:r w:rsidRPr="00AF2F7C">
              <w:rPr>
                <w:rFonts w:ascii="Calibri" w:eastAsia="Calibri" w:hAnsi="Calibri" w:cs="Times New Roman"/>
              </w:rPr>
              <w:t xml:space="preserve"> </w:t>
            </w: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 xml:space="preserve">of influenza, hand hygiene, respiratory isolation, and respiratory etiquette. 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Educate and instruct HCP to report signs and symptoms of possible influenza to supervision.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  <w:tr w:rsidR="00AF2F7C" w:rsidRPr="00AF2F7C" w:rsidTr="00B21229">
        <w:tc>
          <w:tcPr>
            <w:tcW w:w="5875" w:type="dxa"/>
          </w:tcPr>
          <w:p w:rsidR="00AF2F7C" w:rsidRPr="00AF2F7C" w:rsidRDefault="00AF2F7C" w:rsidP="00AF2F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Batang" w:hAnsi="Calibri" w:cs="Arial"/>
                <w:sz w:val="24"/>
                <w:szCs w:val="24"/>
                <w:lang w:eastAsia="ko-KR"/>
              </w:rPr>
            </w:pPr>
            <w:r w:rsidRPr="00AF2F7C">
              <w:rPr>
                <w:rFonts w:ascii="Calibri" w:eastAsia="Batang" w:hAnsi="Calibri" w:cs="Arial"/>
                <w:sz w:val="24"/>
                <w:szCs w:val="24"/>
                <w:lang w:eastAsia="ko-KR"/>
              </w:rPr>
              <w:t>Educate residents, their families, and visitors about influenza as indicated.</w:t>
            </w:r>
          </w:p>
        </w:tc>
        <w:tc>
          <w:tcPr>
            <w:tcW w:w="63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1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</w:tcPr>
          <w:p w:rsidR="00AF2F7C" w:rsidRPr="00AF2F7C" w:rsidRDefault="00AF2F7C" w:rsidP="00AF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sz w:val="24"/>
                <w:szCs w:val="24"/>
                <w:lang w:eastAsia="ko-KR"/>
              </w:rPr>
            </w:pPr>
          </w:p>
        </w:tc>
      </w:tr>
    </w:tbl>
    <w:p w:rsidR="00AF2F7C" w:rsidRDefault="00AF2F7C"/>
    <w:sectPr w:rsidR="00AF2F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7C" w:rsidRDefault="00AF2F7C" w:rsidP="00AF2F7C">
      <w:pPr>
        <w:spacing w:after="0" w:line="240" w:lineRule="auto"/>
      </w:pPr>
      <w:r>
        <w:separator/>
      </w:r>
    </w:p>
  </w:endnote>
  <w:endnote w:type="continuationSeparator" w:id="0">
    <w:p w:rsidR="00AF2F7C" w:rsidRDefault="00AF2F7C" w:rsidP="00AF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7C" w:rsidRDefault="00AF2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164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F7C" w:rsidRDefault="00AF2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2F7C" w:rsidRDefault="00AF2F7C" w:rsidP="00AF2F7C">
    <w:pPr>
      <w:pStyle w:val="Footer"/>
      <w:jc w:val="both"/>
    </w:pPr>
    <w:bookmarkStart w:id="0" w:name="_GoBack"/>
    <w:bookmarkEnd w:id="0"/>
    <w:r>
      <w:t xml:space="preserve">INFLUENZA OUTBREAK </w:t>
    </w:r>
    <w:r>
      <w:t>PREVENT</w:t>
    </w:r>
    <w:r>
      <w:t xml:space="preserve">ION AND CONTROL GUIDELINES FOR </w:t>
    </w:r>
    <w:r>
      <w:t>SKILLED NURSING FACILITIES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7C" w:rsidRDefault="00AF2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7C" w:rsidRDefault="00AF2F7C" w:rsidP="00AF2F7C">
      <w:pPr>
        <w:spacing w:after="0" w:line="240" w:lineRule="auto"/>
      </w:pPr>
      <w:r>
        <w:separator/>
      </w:r>
    </w:p>
  </w:footnote>
  <w:footnote w:type="continuationSeparator" w:id="0">
    <w:p w:rsidR="00AF2F7C" w:rsidRDefault="00AF2F7C" w:rsidP="00AF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7C" w:rsidRDefault="00AF2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7C" w:rsidRPr="00AF2F7C" w:rsidRDefault="00AF2F7C" w:rsidP="00AF2F7C">
    <w:pPr>
      <w:tabs>
        <w:tab w:val="left" w:pos="-648"/>
        <w:tab w:val="left" w:pos="0"/>
        <w:tab w:val="left" w:pos="432"/>
        <w:tab w:val="left" w:pos="792"/>
        <w:tab w:val="left" w:pos="1152"/>
        <w:tab w:val="left" w:pos="1512"/>
        <w:tab w:val="left" w:pos="3672"/>
        <w:tab w:val="left" w:pos="4032"/>
        <w:tab w:val="left" w:pos="4392"/>
        <w:tab w:val="left" w:pos="4752"/>
        <w:tab w:val="left" w:pos="5112"/>
        <w:tab w:val="left" w:pos="5472"/>
        <w:tab w:val="left" w:pos="5832"/>
        <w:tab w:val="left" w:pos="6192"/>
        <w:tab w:val="left" w:pos="6552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Cambria" w:eastAsia="Batang" w:hAnsi="Cambria" w:cs="Arial"/>
        <w:b/>
        <w:bCs/>
        <w:sz w:val="28"/>
        <w:szCs w:val="28"/>
        <w:lang w:eastAsia="ko-KR"/>
      </w:rPr>
    </w:pPr>
    <w:r w:rsidRPr="00AF2F7C">
      <w:rPr>
        <w:rFonts w:ascii="Cambria" w:eastAsia="Batang" w:hAnsi="Cambria" w:cs="Arial"/>
        <w:b/>
        <w:bCs/>
        <w:sz w:val="28"/>
        <w:szCs w:val="28"/>
        <w:lang w:eastAsia="ko-KR"/>
      </w:rPr>
      <w:t>Influenza Outbreak Management Checklist</w:t>
    </w:r>
  </w:p>
  <w:p w:rsidR="00AF2F7C" w:rsidRDefault="00AF2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7C" w:rsidRDefault="00AF2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0B4E"/>
    <w:multiLevelType w:val="hybridMultilevel"/>
    <w:tmpl w:val="DC007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73255"/>
    <w:multiLevelType w:val="hybridMultilevel"/>
    <w:tmpl w:val="542A3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3378D"/>
    <w:multiLevelType w:val="hybridMultilevel"/>
    <w:tmpl w:val="A780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4174"/>
    <w:multiLevelType w:val="hybridMultilevel"/>
    <w:tmpl w:val="5D169074"/>
    <w:lvl w:ilvl="0" w:tplc="AA1EC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A06239"/>
    <w:multiLevelType w:val="hybridMultilevel"/>
    <w:tmpl w:val="19A41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D8492C"/>
    <w:multiLevelType w:val="hybridMultilevel"/>
    <w:tmpl w:val="19681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19659B"/>
    <w:multiLevelType w:val="hybridMultilevel"/>
    <w:tmpl w:val="53CE9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259A7"/>
    <w:multiLevelType w:val="hybridMultilevel"/>
    <w:tmpl w:val="89D88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680548"/>
    <w:multiLevelType w:val="hybridMultilevel"/>
    <w:tmpl w:val="85CC4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583DDC"/>
    <w:multiLevelType w:val="hybridMultilevel"/>
    <w:tmpl w:val="7530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2427B7"/>
    <w:multiLevelType w:val="hybridMultilevel"/>
    <w:tmpl w:val="E536E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463FEB"/>
    <w:multiLevelType w:val="multilevel"/>
    <w:tmpl w:val="BBA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7C"/>
    <w:rsid w:val="00330501"/>
    <w:rsid w:val="00A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629546F-BF18-4BDD-B572-C9FB7FC0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Theme="minorHAnsi" w:hAnsi="Symbol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7C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F7C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F7C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oppad001/influenza-a-product-lis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ublichealth.lacounty.gov/hfd/howto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pa.gov/oppad001/influenza-disinfectant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Cho</dc:creator>
  <cp:keywords/>
  <dc:description/>
  <cp:lastModifiedBy>Karen Cho</cp:lastModifiedBy>
  <cp:revision>1</cp:revision>
  <dcterms:created xsi:type="dcterms:W3CDTF">2015-07-16T15:13:00Z</dcterms:created>
  <dcterms:modified xsi:type="dcterms:W3CDTF">2015-07-16T15:18:00Z</dcterms:modified>
</cp:coreProperties>
</file>